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02D21" Type="http://schemas.openxmlformats.org/officeDocument/2006/relationships/officeDocument" Target="/word/document.xml" /><Relationship Id="coreR45502D21" Type="http://schemas.openxmlformats.org/package/2006/relationships/metadata/core-properties" Target="/docProps/core.xml" /><Relationship Id="customR45502D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uchování surovin pro výrobu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zařízení pro výrobu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směny a zajištění procesu výroby piva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30.9.2026 9:50:37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https://nsp.cz/jednotka-prace/pivovarnik-a-sladovnik#zdravotni-zpusobilost).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probíhá v reálném provozu pivovaru včetně obsluhy a je spojeno s konkrétními činnostmi ve výrobě piva. Podklady pro uchazeče budou modelové.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směny a zajištění procesu výroby piva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nebude uchazeč komunikovat s pracovníky obsluhy strojních zařízení. Komunikovat bude pouze ze zkoušejícím.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si zkoušející připraví modelový příklad, na kterém kritérium ověří.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ověřuje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průběžně při zkoušce během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30.9.2026 9:50:37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30.9.2026 9:50:37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