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9F52C" Type="http://schemas.openxmlformats.org/officeDocument/2006/relationships/officeDocument" Target="/word/document.xml" /><Relationship Id="coreR3229F52C" Type="http://schemas.openxmlformats.org/package/2006/relationships/metadata/core-properties" Target="/docProps/core.xml" /><Relationship Id="customR3229F5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úseku v uhelném dole (kód: 21-098-M)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hornických činností nebo činností prováděných hornickým způsobem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ekonomických pojmech a struktuře nákladů v podniku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Vedoucí těžebního úseku v uhelném dole, 30.9.2026 1:43:38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 xml:space="preserve">a) Stručně popsat základní legislativní normy řešící problematiku  bezpečnosti a ochrany zdraví při práci a bezpečnosti provozu při hornické činnosti v podzemí (vyhláška ČBÚ č. 22/1989 Sb., vyhláška č. 26/1989 Sb., vyhláška č. 51/1989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 xml:space="preserve">b) Vysvětlit, co určuje technologický postup (TP) pro ražení důlního díla,  TP pro dobývání,  TP pro hloubení, TP vybavování a likvidace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zásady vedení důlních děl (§ 39 vyhlášky ČBÚ č. 22/1989 Sb., v aktuálním znění)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havarijní plán (§ 20 vyhlášky ČBÚ č. 22/1989 Sb., v aktuálním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Vyhotovování technologických postupů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Popsat technologii ražení, technologii dobývání uhlí, technologii vybavování a likvidaci důlního díla</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Navrhnout technologický postup (TP) pro ražení důlního díla, nebo TP pro dobývání, nebo TP pro vybavování a likvidaci důlního díla</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c) Prezentovat a vysvětlit v předložené dokumentaci přílohy k TP pro dobývání, nebo TP pro ražení, nebo TP pro vybavování a likvidaci důlního díla</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Řízení hornických činností nebo činností prováděných hornickým způsobem</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831" w:hRule="exact" w:wrap="none" w:vAnchor="page" w:hAnchor="margin" w:x="45" w:y="11177"/>
        <w:rPr>
          <w:rStyle w:val="C3"/>
          <w:rtl w:val="0"/>
        </w:rPr>
      </w:pPr>
    </w:p>
    <w:p>
      <w:pPr>
        <w:pStyle w:val="P13"/>
        <w:framePr w:w="6658" w:h="704" w:hRule="exact" w:wrap="none" w:vAnchor="page" w:hAnchor="margin" w:x="71" w:y="11233"/>
        <w:rPr>
          <w:rStyle w:val="C11"/>
          <w:rtl w:val="0"/>
        </w:rPr>
      </w:pPr>
      <w:r>
        <w:rPr>
          <w:rStyle w:val="C11"/>
          <w:rtl w:val="0"/>
        </w:rPr>
        <w:t>a) Sestavit technický režim (TR těžby, TR metráže, TR - harmonogram vybavování nebo likvidace důlního díla) podle předložené dokumentace a zadaných parametrů</w:t>
      </w:r>
    </w:p>
    <w:p>
      <w:pPr>
        <w:pStyle w:val="P28"/>
        <w:framePr w:w="3921" w:h="831" w:hRule="exact" w:wrap="none" w:vAnchor="page" w:hAnchor="margin" w:x="6800" w:y="11177"/>
        <w:rPr>
          <w:rStyle w:val="C3"/>
          <w:rtl w:val="0"/>
        </w:rPr>
      </w:pPr>
    </w:p>
    <w:p>
      <w:pPr>
        <w:pStyle w:val="P29"/>
        <w:framePr w:w="3839" w:h="704" w:hRule="exact" w:wrap="none" w:vAnchor="page" w:hAnchor="margin" w:x="6856" w:y="11233"/>
        <w:rPr>
          <w:rStyle w:val="C21"/>
          <w:rtl w:val="0"/>
        </w:rPr>
      </w:pPr>
      <w:r>
        <w:rPr>
          <w:rStyle w:val="C21"/>
          <w:rtl w:val="0"/>
        </w:rPr>
        <w:t>Praktické předvedení a ústní ověření</w:t>
      </w:r>
    </w:p>
    <w:p>
      <w:pPr>
        <w:pStyle w:val="P16"/>
        <w:framePr w:w="6710" w:h="1055" w:hRule="exact" w:wrap="none" w:vAnchor="page" w:hAnchor="margin" w:x="45" w:y="12008"/>
        <w:rPr>
          <w:rStyle w:val="C3"/>
          <w:rtl w:val="0"/>
        </w:rPr>
      </w:pPr>
    </w:p>
    <w:p>
      <w:pPr>
        <w:pStyle w:val="P17"/>
        <w:framePr w:w="6658" w:h="928" w:hRule="exact" w:wrap="none" w:vAnchor="page" w:hAnchor="margin" w:x="71" w:y="12064"/>
        <w:rPr>
          <w:rStyle w:val="C13"/>
          <w:rtl w:val="0"/>
        </w:rPr>
      </w:pPr>
      <w:r>
        <w:rPr>
          <w:rStyle w:val="C13"/>
          <w:rtl w:val="0"/>
        </w:rPr>
        <w:t>b) Vypočítat a popsat základní parametry plánu výroby pro úsek ražení důlních děl (celková metráž, výkon čelby, úsekový výkon, denní postup čelby) a pro úsek dobývání (celková těžba, výkon rubání, úsekový výkon) a pro úsek vybavování a likvidace (harmonogram prací)</w:t>
      </w:r>
    </w:p>
    <w:p>
      <w:pPr>
        <w:pStyle w:val="P30"/>
        <w:framePr w:w="3921" w:h="1055" w:hRule="exact" w:wrap="none" w:vAnchor="page" w:hAnchor="margin" w:x="6800" w:y="12008"/>
        <w:rPr>
          <w:rStyle w:val="C3"/>
          <w:rtl w:val="0"/>
        </w:rPr>
      </w:pPr>
    </w:p>
    <w:p>
      <w:pPr>
        <w:pStyle w:val="P31"/>
        <w:framePr w:w="3839" w:h="928"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3063"/>
        <w:rPr>
          <w:rStyle w:val="C3"/>
          <w:rtl w:val="0"/>
        </w:rPr>
      </w:pPr>
    </w:p>
    <w:p>
      <w:pPr>
        <w:pStyle w:val="P13"/>
        <w:framePr w:w="6658" w:h="480" w:hRule="exact" w:wrap="none" w:vAnchor="page" w:hAnchor="margin" w:x="71" w:y="13119"/>
        <w:rPr>
          <w:rStyle w:val="C11"/>
          <w:rtl w:val="0"/>
        </w:rPr>
      </w:pPr>
      <w:r>
        <w:rPr>
          <w:rStyle w:val="C11"/>
          <w:rtl w:val="0"/>
        </w:rPr>
        <w:t>c) Vysvětlit pojmy "přidělování práce" (§ 14) a "samostatný výkon práce" (§ 15) dle vyhlášky ČBÚ č. 22/1989 Sb., v aktuálním znění</w:t>
      </w:r>
    </w:p>
    <w:p>
      <w:pPr>
        <w:pStyle w:val="P28"/>
        <w:framePr w:w="3921" w:h="607" w:hRule="exact" w:wrap="none" w:vAnchor="page" w:hAnchor="margin" w:x="6800" w:y="13063"/>
        <w:rPr>
          <w:rStyle w:val="C3"/>
          <w:rtl w:val="0"/>
        </w:rPr>
      </w:pPr>
    </w:p>
    <w:p>
      <w:pPr>
        <w:pStyle w:val="P29"/>
        <w:framePr w:w="3839" w:h="480" w:hRule="exact" w:wrap="none" w:vAnchor="page" w:hAnchor="margin" w:x="6856" w:y="13119"/>
        <w:rPr>
          <w:rStyle w:val="C21"/>
          <w:rtl w:val="0"/>
        </w:rPr>
      </w:pPr>
      <w:r>
        <w:rPr>
          <w:rStyle w:val="C21"/>
          <w:rtl w:val="0"/>
        </w:rPr>
        <w:t>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d) Vysvětlit způsoby kontroly plnění plánu výroby (metráže, těžby, harmonogramu vybavování a likvidace důlního díla)</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Ústní ověření</w:t>
      </w:r>
    </w:p>
    <w:p>
      <w:pPr>
        <w:pStyle w:val="P32"/>
        <w:framePr w:w="10710" w:h="248" w:hRule="exact" w:wrap="none" w:vAnchor="page" w:hAnchor="margin" w:x="28" w:y="14390"/>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Vedoucí těžebního úseku v uhelném dole, 30.9.2026 1:43:38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ekonomických pojmech a struktuře nákladů v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odměňování pracovníků úseku dle platných zásad hmotné zainteresovanosti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výše měsíční mzdy pracovníka dle zadaných podkladů a interních mzdových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základní nákladové položky úseku (materiálové náklady, mzdové náklady, odpisy, energie)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způsoby kontroly plnění plánu ekonomiky úseku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ktritéria.</w:t>
      </w:r>
    </w:p>
    <w:p>
      <w:pPr>
        <w:pStyle w:val="P23"/>
        <w:framePr w:w="10710" w:h="340" w:hRule="exact" w:wrap="none" w:vAnchor="page" w:hAnchor="margin" w:x="28" w:y="5716"/>
        <w:rPr>
          <w:rStyle w:val="C18"/>
          <w:rtl w:val="0"/>
        </w:rPr>
      </w:pPr>
      <w:r>
        <w:rPr>
          <w:rStyle w:val="C18"/>
          <w:rtl w:val="0"/>
        </w:rPr>
        <w:t>Indikace důlního ovzduší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složení důlního ovzduší a přípustné koncentrace (§ 83 vyhlášky ČBÚ č. 22/1989 Sb., v platném znění)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a popsat detekční a indikační přístroje sloužící k měření důlního ovzduší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c) Předvést postup při simulačním měření metanu, oxidu uhelnatého a oxidu uhličitého příslušnými přístroji ("sputnik" - zvukový signalizační přístroj pro měření metanu, interferometr, detekční trubičky, stacionární čidla)</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Zaznamenat do příslušné dokumentace údaje z měření metanu, oxidu uhelnatého a oxidu uhličitého</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Vyjmenovat a popsat použití osobních ochranných pracovních prostředků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Objasnit principy kontroly dodržování bezpečnosti a ochrany zdraví při práci a požární ochrany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Vyjmenovat věcné prostředky požární ochrany (§ 169 vyhlášky ČBÚ č. 22/1989 Sb., v platném znění)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d) Vyjmenovat prostředky k zneškodňování uhelného prachu (postřiky, smáčení, protivýbuchové uzávěry)</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3"/>
        <w:framePr w:w="10710" w:h="340" w:hRule="exact" w:wrap="none" w:vAnchor="page" w:hAnchor="margin" w:x="28" w:y="13293"/>
        <w:rPr>
          <w:rStyle w:val="C18"/>
          <w:rtl w:val="0"/>
        </w:rPr>
      </w:pPr>
      <w:r>
        <w:rPr>
          <w:rStyle w:val="C18"/>
          <w:rtl w:val="0"/>
        </w:rPr>
        <w:t>Vedení provozní a technické dokumentace</w:t>
      </w:r>
    </w:p>
    <w:p>
      <w:pPr>
        <w:pStyle w:val="P24"/>
        <w:framePr w:w="6713" w:h="376" w:hRule="exact" w:wrap="none" w:vAnchor="page" w:hAnchor="margin" w:x="45" w:y="13732"/>
        <w:rPr>
          <w:rStyle w:val="C3"/>
          <w:rtl w:val="0"/>
        </w:rPr>
      </w:pPr>
    </w:p>
    <w:p>
      <w:pPr>
        <w:pStyle w:val="P25"/>
        <w:framePr w:w="6661" w:h="249" w:hRule="exact" w:wrap="none" w:vAnchor="page" w:hAnchor="margin" w:x="71" w:y="13803"/>
        <w:rPr>
          <w:rStyle w:val="C19"/>
          <w:rtl w:val="0"/>
        </w:rPr>
      </w:pPr>
      <w:r>
        <w:rPr>
          <w:rStyle w:val="C19"/>
          <w:rtl w:val="0"/>
        </w:rPr>
        <w:t>Kritéria hodnocení</w:t>
      </w:r>
    </w:p>
    <w:p>
      <w:pPr>
        <w:pStyle w:val="P26"/>
        <w:framePr w:w="3918" w:h="376" w:hRule="exact" w:wrap="none" w:vAnchor="page" w:hAnchor="margin" w:x="6803" w:y="13732"/>
        <w:rPr>
          <w:rStyle w:val="C3"/>
          <w:rtl w:val="0"/>
        </w:rPr>
      </w:pPr>
    </w:p>
    <w:p>
      <w:pPr>
        <w:pStyle w:val="P27"/>
        <w:framePr w:w="3836" w:h="249" w:hRule="exact" w:wrap="none" w:vAnchor="page" w:hAnchor="margin" w:x="6859" w:y="13803"/>
        <w:rPr>
          <w:rStyle w:val="C20"/>
          <w:rtl w:val="0"/>
        </w:rPr>
      </w:pPr>
      <w:r>
        <w:rPr>
          <w:rStyle w:val="C20"/>
          <w:rtl w:val="0"/>
        </w:rPr>
        <w:t>Způsoby ověření</w:t>
      </w:r>
    </w:p>
    <w:p>
      <w:pPr>
        <w:pStyle w:val="P12"/>
        <w:framePr w:w="6710" w:h="607" w:hRule="exact" w:wrap="none" w:vAnchor="page" w:hAnchor="margin" w:x="45" w:y="14109"/>
        <w:rPr>
          <w:rStyle w:val="C3"/>
          <w:rtl w:val="0"/>
        </w:rPr>
      </w:pPr>
    </w:p>
    <w:p>
      <w:pPr>
        <w:pStyle w:val="P13"/>
        <w:framePr w:w="6658" w:h="480" w:hRule="exact" w:wrap="none" w:vAnchor="page" w:hAnchor="margin" w:x="71" w:y="14165"/>
        <w:rPr>
          <w:rStyle w:val="C11"/>
          <w:rtl w:val="0"/>
        </w:rPr>
      </w:pPr>
      <w:r>
        <w:rPr>
          <w:rStyle w:val="C11"/>
          <w:rtl w:val="0"/>
        </w:rPr>
        <w:t>a) Vysvětlit, co zahrnuje provozní dokumentace a jaké pro ni platí zásady (§ 5 vyhlášky ČBÚ č. 22/1989 Sb., v platném znění</w:t>
      </w:r>
    </w:p>
    <w:p>
      <w:pPr>
        <w:pStyle w:val="P28"/>
        <w:framePr w:w="3921" w:h="607" w:hRule="exact" w:wrap="none" w:vAnchor="page" w:hAnchor="margin" w:x="6800" w:y="14109"/>
        <w:rPr>
          <w:rStyle w:val="C3"/>
          <w:rtl w:val="0"/>
        </w:rPr>
      </w:pPr>
    </w:p>
    <w:p>
      <w:pPr>
        <w:pStyle w:val="P29"/>
        <w:framePr w:w="3839" w:h="480" w:hRule="exact" w:wrap="none" w:vAnchor="page" w:hAnchor="margin" w:x="6856" w:y="14165"/>
        <w:rPr>
          <w:rStyle w:val="C21"/>
          <w:rtl w:val="0"/>
        </w:rPr>
      </w:pPr>
      <w:r>
        <w:rPr>
          <w:rStyle w:val="C21"/>
          <w:rtl w:val="0"/>
        </w:rPr>
        <w:t>Ústní ověření</w:t>
      </w:r>
    </w:p>
    <w:p>
      <w:pPr>
        <w:pStyle w:val="P16"/>
        <w:framePr w:w="6710" w:h="607" w:hRule="exact" w:wrap="none" w:vAnchor="page" w:hAnchor="margin" w:x="45" w:y="14715"/>
        <w:rPr>
          <w:rStyle w:val="C3"/>
          <w:rtl w:val="0"/>
        </w:rPr>
      </w:pPr>
    </w:p>
    <w:p>
      <w:pPr>
        <w:pStyle w:val="P17"/>
        <w:framePr w:w="6658" w:h="480" w:hRule="exact" w:wrap="none" w:vAnchor="page" w:hAnchor="margin" w:x="71" w:y="14771"/>
        <w:rPr>
          <w:rStyle w:val="C13"/>
          <w:rtl w:val="0"/>
        </w:rPr>
      </w:pPr>
      <w:r>
        <w:rPr>
          <w:rStyle w:val="C13"/>
          <w:rtl w:val="0"/>
        </w:rPr>
        <w:t>b) Zaznamenat předepsaným způsobem údaje o průběhu činnosti úseku do příslušné dokumentace</w:t>
      </w:r>
    </w:p>
    <w:p>
      <w:pPr>
        <w:pStyle w:val="P30"/>
        <w:framePr w:w="3921" w:h="607" w:hRule="exact" w:wrap="none" w:vAnchor="page" w:hAnchor="margin" w:x="6800" w:y="14715"/>
        <w:rPr>
          <w:rStyle w:val="C3"/>
          <w:rtl w:val="0"/>
        </w:rPr>
      </w:pPr>
    </w:p>
    <w:p>
      <w:pPr>
        <w:pStyle w:val="P31"/>
        <w:framePr w:w="3839" w:h="480" w:hRule="exact" w:wrap="none" w:vAnchor="page" w:hAnchor="margin" w:x="6856" w:y="14771"/>
        <w:rPr>
          <w:rStyle w:val="C22"/>
          <w:rtl w:val="0"/>
        </w:rPr>
      </w:pPr>
      <w:r>
        <w:rPr>
          <w:rStyle w:val="C22"/>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úseku v uhelném dole, 30.9.2026 1:43:38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https://nsp.cz/jednotka-prace/technicky-dozor-v-podzemi#zdravotni-zpusobilost).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mít uchazeč od autorizované osoby k dispozici příslušné technické normy.</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Vyhotovování technologických postupů, </w:t>
      </w:r>
      <w:r>
        <w:rPr>
          <w:rFonts w:ascii="Arial" w:cs="Arial" w:hAnsi="Arial" w:eastAsia="Arial"/>
          <w:b w:val="0"/>
          <w:i w:val="0"/>
          <w:caps w:val="0"/>
          <w:strike w:val="0"/>
          <w:noProof w:val="0"/>
          <w:vanish w:val="0"/>
          <w:color w:val="auto"/>
          <w:sz w:val="20"/>
          <w:u w:val="none"/>
          <w:shd w:val="clear" w:color="auto" w:fill="auto"/>
          <w:vertAlign w:val="baseline"/>
          <w:lang/>
        </w:rPr>
        <w:t>kritéria b) AOs na začátku zkoušky zvolí, který technologický postup (TP) bude uchazeč zpracovávat - TP pro ražení důlního díla, nebo TP pro dobývání, nebo TP pro vybavování a likvidaci důlního díla. Minimální rozsah: návrh pro vrt, technologie, větrání, trhací práce a protiotřesová opatření.</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Vyhotovování technologických postupů, </w:t>
      </w:r>
      <w:r>
        <w:rPr>
          <w:rFonts w:ascii="Arial" w:cs="Arial" w:hAnsi="Arial" w:eastAsia="Arial"/>
          <w:b w:val="0"/>
          <w:i w:val="0"/>
          <w:caps w:val="0"/>
          <w:strike w:val="0"/>
          <w:noProof w:val="0"/>
          <w:vanish w:val="0"/>
          <w:color w:val="auto"/>
          <w:sz w:val="20"/>
          <w:u w:val="none"/>
          <w:shd w:val="clear" w:color="auto" w:fill="auto"/>
          <w:vertAlign w:val="baseline"/>
          <w:lang/>
        </w:rPr>
        <w:t>kritéria c) autorizovaná osoba uchazeči zadá technologický postup (TP pro dobývání, nebo TP pro ražení, nebo TP pro vybavování a likvidaci důlního díla), u kterého bude uchazeč prezentovat a vysvětlovat přílohy technologického postupu.</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hornických činností nebo činností prováděných hornickým způsobem </w:t>
      </w:r>
      <w:r>
        <w:rPr>
          <w:rFonts w:ascii="Arial" w:cs="Arial" w:hAnsi="Arial" w:eastAsia="Arial"/>
          <w:b w:val="0"/>
          <w:i w:val="0"/>
          <w:caps w:val="0"/>
          <w:strike w:val="0"/>
          <w:noProof w:val="0"/>
          <w:vanish w:val="0"/>
          <w:color w:val="auto"/>
          <w:sz w:val="20"/>
          <w:u w:val="none"/>
          <w:shd w:val="clear" w:color="auto" w:fill="auto"/>
          <w:vertAlign w:val="baseline"/>
          <w:lang/>
        </w:rPr>
        <w:t xml:space="preserve">předá autorizovaná osoba na začátku zkoušky uchazeči zadání (kubatura, metráž, počet pracovníků, směnnost) pro výpočty příslušných ukazatelů. </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ekonomických pojmech a struktuře nákladů v podniku </w:t>
      </w:r>
      <w:r>
        <w:rPr>
          <w:rFonts w:ascii="Arial" w:cs="Arial" w:hAnsi="Arial" w:eastAsia="Arial"/>
          <w:b w:val="0"/>
          <w:i w:val="0"/>
          <w:caps w:val="0"/>
          <w:strike w:val="0"/>
          <w:noProof w:val="0"/>
          <w:vanish w:val="0"/>
          <w:color w:val="auto"/>
          <w:sz w:val="20"/>
          <w:u w:val="none"/>
          <w:shd w:val="clear" w:color="auto" w:fill="auto"/>
          <w:vertAlign w:val="baseline"/>
          <w:lang/>
        </w:rPr>
        <w:t>poskytne autorizovaná osoba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uchazeči mzdové předpisy a podklady k výpočtu mzdy.</w:t>
      </w:r>
    </w:p>
    <w:p>
      <w:pPr>
        <w:pStyle w:val="P33"/>
        <w:framePr w:w="10766" w:h="1837" w:hRule="exact" w:wrap="none" w:vAnchor="page" w:hAnchor="margin" w:x="0" w:y="11149"/>
        <w:rPr>
          <w:rStyle w:val="C3"/>
          <w:rtl w:val="0"/>
        </w:rPr>
      </w:pPr>
    </w:p>
    <w:p>
      <w:pPr>
        <w:pStyle w:val="P35"/>
        <w:framePr w:w="10710" w:h="340" w:hRule="exact" w:wrap="none" w:vAnchor="page" w:hAnchor="margin" w:x="28" w:y="11149"/>
        <w:rPr>
          <w:rStyle w:val="C25"/>
          <w:rtl w:val="0"/>
        </w:rPr>
      </w:pPr>
      <w:r>
        <w:rPr>
          <w:rStyle w:val="C25"/>
          <w:rtl w:val="0"/>
        </w:rPr>
        <w:t>Výsledné hodnocení</w:t>
      </w:r>
    </w:p>
    <w:p>
      <w:pPr>
        <w:keepNext w:val="0"/>
        <w:keepLines w:val="0"/>
        <w:framePr w:w="10766" w:h="1497" w:hRule="exact" w:wrap="none" w:vAnchor="page" w:hAnchor="margin" w:x="0" w:y="11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213"/>
        <w:rPr>
          <w:rStyle w:val="C3"/>
          <w:rtl w:val="0"/>
        </w:rPr>
      </w:pPr>
    </w:p>
    <w:p>
      <w:pPr>
        <w:pStyle w:val="P35"/>
        <w:framePr w:w="10710" w:h="340" w:hRule="exact" w:wrap="none" w:vAnchor="page" w:hAnchor="margin" w:x="28" w:y="13213"/>
        <w:rPr>
          <w:rStyle w:val="C25"/>
          <w:rtl w:val="0"/>
        </w:rPr>
      </w:pPr>
      <w:r>
        <w:rPr>
          <w:rStyle w:val="C25"/>
          <w:rtl w:val="0"/>
        </w:rPr>
        <w:t>Počet zkoušejících</w:t>
      </w:r>
    </w:p>
    <w:p>
      <w:pPr>
        <w:keepNext w:val="0"/>
        <w:keepLines w:val="0"/>
        <w:framePr w:w="10766" w:h="1271"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těžebního úseku v uhelném dole, 30.9.2026 1:43:38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v oblasti hornictví.</w:t>
      </w:r>
    </w:p>
    <w:p>
      <w:pPr>
        <w:keepNext w:val="0"/>
        <w:keepLines w:val="1"/>
        <w:framePr w:w="10766" w:h="73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v oblasti hornictví.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1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těžebního úseku v uhelném dole, 30.9.2026 1:43:38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(měřicí, detekční a indikační přístroje - zvukový signalizační přístroj pro měření metanu "sputnik", interferometr, detekční trubičky, stacionární čidla)</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z oblasti hornictví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technologického postupu (technologické postupy včetně příloh pro dobývání, ražení a vybavování a likvidaci důlního díla), zadání pro navrhování technologických postupů a k provedení příslušných propočtů</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80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Doba pro vykonání zkoušky</w:t>
      </w:r>
    </w:p>
    <w:p>
      <w:pPr>
        <w:keepNext w:val="0"/>
        <w:keepLines w:val="0"/>
        <w:framePr w:w="10766" w:h="1036" w:hRule="exact" w:wrap="none" w:vAnchor="page" w:hAnchor="margin" w:x="0" w:y="10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Vedoucí těžebního úseku v uhelném dole, 30.9.2026 1:43:38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Vedoucí těžebního úseku v uhelném dole, 30.9.2026 1:43:38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BAE8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DE4F1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C13A5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71BB7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