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307C8E" Type="http://schemas.openxmlformats.org/officeDocument/2006/relationships/officeDocument" Target="/word/document.xml" /><Relationship Id="coreR29307C8E" Type="http://schemas.openxmlformats.org/package/2006/relationships/metadata/core-properties" Target="/docProps/core.xml" /><Relationship Id="customR29307C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protiprašné prevence v dole (kód: 21-097-M)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pro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protipožární a protivýbuchové prevence objektů a technologických zařízení v báňském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prašnosti, hlučnosti a jiných škodlivin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a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protiprašné prevence v dole, 11.9.2026 17:23:34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https://www.nsp.cz/jednotka-prace/technicky-dozor-v-podzemi#zdravotni-zpusobilost).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Kritéria, u nichž je předepsáno praktické předvedení, budou ověřována na modelových zadáních. Modelová zadání musí mít autorizovaná osoba připraveny předem - buď si je uchazeč vylosuje, nebo mu je autorizovaná osoba přidělí. Musí být k dispozici sada modelových zadání, z nichž každá obsáhne všechny relevantní kritéria, která se ověřují praktickým předvedením. 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provádí na pracovišti v dole, případně na simulovaném důlním pracovišti na povrchu.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nebo ústní ověření, uchazeč předvádí daný úkol podle zadání a zároveň svoji činnost komentuje, v případě potřeby následně zodpoví doplňující otázky autorizované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protiprašné prevence v dole, 11.9.2026 17:23:34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protiprašné prevence v dole, 11.9.2026 17:23:34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