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EA379F" Type="http://schemas.openxmlformats.org/officeDocument/2006/relationships/officeDocument" Target="/word/document.xml" /><Relationship Id="coreR8EA379F" Type="http://schemas.openxmlformats.org/package/2006/relationships/metadata/core-properties" Target="/docProps/core.xml" /><Relationship Id="customR8EA37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protiprašné prevence v dole (kód: 21-097-M)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dozor v podzemí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pro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protipožární a protivýbuchové prevence objektů a technologických zařízení v báňském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prašnosti, hlučnosti a jiných škodlivin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protiprašné prevence v dole,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https://www.nsp.cz/jednotka-prace/technicky-dozor-v-podzemi#zdravotni-zpusobilost).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Kritéria, u nichž je předepsáno praktické předvedení, budou ověřována na modelových zadáních. Modelová zadání musí mít autorizovaná osoba připraveny předem - buď si je uchazeč vylosuje, nebo mu je autorizovaná osoba přidělí. Musí být k dispozici sada modelových zadání, z nichž každá obsáhne všechny relevantní kritéria, která se ověřují praktickým předvedením.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provádí na pracovišti v dole, případně na simulovaném důlním pracovišti na povrchu.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nebo ústní ověření, uchazeč předvádí daný úkol podle zadání a zároveň svoji činnost komentuje, v případě potřeby následně zodpoví doplňující otázky autorizované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protiprašné prevence v dole,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protiprašné prevence v dole,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