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D573E" Type="http://schemas.openxmlformats.org/officeDocument/2006/relationships/officeDocument" Target="/word/document.xml" /><Relationship Id="coreR4DFD573E" Type="http://schemas.openxmlformats.org/package/2006/relationships/metadata/core-properties" Target="/docProps/core.xml" /><Relationship Id="customR4DFD5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30.9.2026 0:39:39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•jednodílnou matraci pro určeného uživatele délky 2 200 mm s pružinovou kostrou BONNEL s pevným (nesnímatelným) potahem s příhraněmi a obvodovými švy krytými lemovací hranovou stuhou, která spolu s materiálem příhraní a horního a spodního dílu tvoří obvodové paspule a s odvětrávacími otvory nebo mřížkou, s úchytkami a etiketami podle platných právních předpisů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pro určeného uživatele délky 2 000 mm se snímatelným potahem a matracovým jádrem z pěnových materiálů, s úchytkami a etiketami podle platných právních předpisů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čalouněných výrobků. Měření materiálů a polotovarů musí být v souladu s platnými normami.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30.9.2026 0:39:39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30.9.2026 0:39:39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9DC4B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