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5B87D3" Type="http://schemas.openxmlformats.org/officeDocument/2006/relationships/officeDocument" Target="/word/document.xml" /><Relationship Id="coreR405B87D3" Type="http://schemas.openxmlformats.org/package/2006/relationships/metadata/core-properties" Target="/docProps/core.xml" /><Relationship Id="customR405B87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úpravu keramiky (kód: 28-115-M)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úpravě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úpravě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CNC frézování keramiky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při úpravě keramických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při úpravě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úpravu keramiky,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https://nsp.cz/jednotka-prace/obrabec-keramiky#zdravotni-zpusobilost).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 určitém úseku keramické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budou vztaženy zadané úkoly a jeho parametry, podle zaměření konkrétní keramické výroby. Autorizovaná osoba pro potřeby zkoušky připraví připraví dva až tři kusy keramických výrobků a polotovarů.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hotového výrobku se bude posuzovat kvalita, soulad s technickou a výrobní dokumentací, případně nedodržení jednotlivých parametrů pro zadaný výrobek.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při úpravě keramických výrobků,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se jedná o ověření znalostí vad keramiky způsobených nedodržením technologického postupu.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při úpravě keramických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výrobků uchazeč prokáže znalost ovládání CNC strojů /od prvotního nastavení/ v souladu s technickou dokumentací.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která jsou založena na praktickém předvedení, se klade důraz na dodržování zásad bezpečnosti práce, hygienických a bezpečnostních zásad.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posuzováno hospodárné využití surovin a bezpečné provádění všech úkonů, předmětem hodnocení je i manuální zručnost uchazeče.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úpravu keramiky,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Elektroporcelán,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úpravu keramiky,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