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543A28" Type="http://schemas.openxmlformats.org/officeDocument/2006/relationships/officeDocument" Target="/word/document.xml" /><Relationship Id="coreR39543A28" Type="http://schemas.openxmlformats.org/package/2006/relationships/metadata/core-properties" Target="/docProps/core.xml" /><Relationship Id="customR39543A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úpravu keramiky (kód: 28-115-M)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při úpravě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úpravě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CNC frézování keramiky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při úpravě keramických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při úpravě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práce při výrobě keramiky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https://nsp.cz/jednotka-prace/obrabec-keramiky#zdravotni-zpusobilost).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zkoušeného uchazeče vykonávat pracovní činnosti v určitém úseku keramické výroby.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budou vztaženy zadané úkoly a jeho parametry, podle zaměření konkrétní keramické výroby. Autorizovaná osoba pro potřeby zkoušky připraví připraví dva až tři kusy keramických výrobků a polotovarů.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hotového výrobku se bude posuzovat kvalita, soulad s technickou a výrobní dokumentací, případně nedodržení jednotlivých parametrů pro zadaný výrobek.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při úpravě keramických výrobků,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se jedná o ověření znalostí vad keramiky způsobených nedodržením technologického postupu.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zařízení při úpravě keramických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výrobků uchazeč prokáže znalost ovládání CNC strojů /od prvotního nastavení/ v souladu s technickou dokumentací.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která jsou založena na praktickém předvedení, se klade důraz na dodržování zásad bezpečnosti práce, hygienických a bezpečnostních zásad.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úkonů, předmětem hodnocení je i manuální zručnost uchazeče. 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Elektroporcelán,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úpravu keramiky, 30.9.2026 5:51:52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