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5DA0D5" Type="http://schemas.openxmlformats.org/officeDocument/2006/relationships/officeDocument" Target="/word/document.xml" /><Relationship Id="coreR255DA0D5" Type="http://schemas.openxmlformats.org/package/2006/relationships/metadata/core-properties" Target="/docProps/core.xml" /><Relationship Id="customR255DA0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herní grafik/grafička (kód: 82-053-N)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 v herním vývoji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nástrojů a jejich parametrů, stanovení jmenných konvencí a datových formátů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digitálního 3D modelu v herním vývoji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digitální 3D kompozice v herním vývoji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3D herní grafik/grafička, 20.10.2026 10:59:03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8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všech kompetencí obdrží uchazeč bezprostředně před zahájením zkoušky od autorizované osoby zadání pro tvorbu 3D projektu. Ke každému zadání předloží hodnoticí komise referenční příklady vizuálního stylu prostředí (např. formou obrázků, printscreeny existujících her), které uchazeč zohlední při vypracování návrhu 3D modelu. Dále bude zadání obsahovat videa s definovanými výstupními parametry (polycount, formát exportu, rozlišení textur a texel density, cílový engine, texture set).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vybere jeden z následujících modelů: </w:t>
      </w:r>
    </w:p>
    <w:p>
      <w:pPr>
        <w:keepNext w:val="0"/>
        <w:keepLines w:val="1"/>
        <w:framePr w:w="10766" w:h="92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 surface model (např. elektrický generátor, mechanické kladivo, kuchyňský mixer, střelná zbraň)</w:t>
      </w:r>
    </w:p>
    <w:p>
      <w:pPr>
        <w:keepNext w:val="0"/>
        <w:keepLines w:val="1"/>
        <w:framePr w:w="10766" w:h="92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živý/neživý organický model – hlava charakteru (člověk), model zvířete (kůň, slon)</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vytváří v rámci zkoušky kompletní 3D model.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digitální 3D produkce v herním vývoji"</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kritria a): uchazeč v rámci zkoušky vysvětlí alespoň 3 obecné pojmy, např.: high poly/low poly, PBR, dále vysvětlí pojmy - normal mapa, metalness mapa a roughness mapa, optimalizace modelu (např. LOD, zjednodušení materialů pro LODy, mip mapy). Zároveň vysvětlí alespoň jeden z následujících doplňujících pojmů: AA, SSR, Z-fighting, Z-buffer, ray tracing, mipmap, decal, komprese textur, ambient occlusion, ID mapa, IBL.</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kritria b): uchazeč v rámci zkoušky vysvětlí organický a hard surface model dle formy výstupu, model připravený pro animaci a statický model/asset.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Nastavení nástrojů a jejich parametrů, stanovení jmenných konvencí a datových formátů":</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kritria b): uchazeč v rámci zkoušky používá adresářové struktury projektu pro jednotlivé soubory scény. Zvolí správné pojmenování a ukládání scén, objektů, textur, výstupů.</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3D herní grafik/grafička, 20.10.2026 10:59:03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Volcanoid,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CBE software,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Robek (OSVČ)</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Interactive,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pStyle w:val="P21"/>
        <w:framePr w:w="7654" w:h="331" w:hRule="exact" w:wrap="none" w:vAnchor="page" w:hAnchor="margin" w:x="28" w:y="15940"/>
        <w:rPr>
          <w:rStyle w:val="C16"/>
          <w:rtl w:val="0"/>
        </w:rPr>
      </w:pPr>
      <w:r>
        <w:rPr>
          <w:rStyle w:val="C16"/>
          <w:rtl w:val="0"/>
        </w:rPr>
        <w:t>3D herní grafik/grafička, 20.10.2026 10:59:03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78B8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