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CEEFC" Type="http://schemas.openxmlformats.org/officeDocument/2006/relationships/officeDocument" Target="/word/document.xml" /><Relationship Id="coreR5DACEEFC" Type="http://schemas.openxmlformats.org/package/2006/relationships/metadata/core-properties" Target="/docProps/core.xml" /><Relationship Id="customR5DACEE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videoher (kód: 82-056-R)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trhu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producentského záměru vývoje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předprodukce vývoje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produkce videohry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zadání pro ladění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Publikování a distribuce videohry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trhu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základní milníky v historii herního vývoje videoher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tři herní žánry videoher a ke každému z nich uvést příklad jedné videohry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současné platformy a jejich distribuční kanály, srovnat jejich rozdíly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obchodní modely využívané na trhu videoher, určit rozdíly mezi nimi a tyto charakterizovat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a charakterizovat pracovní pozice podílející se na vývoji videoher, popsat jejich činnosti a odpovědnost</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herní enginy a softwarové nástroje, vysvětlit důvody a způsoby jejich využití v rámci produkce videoher</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Charakterizovat a vysvětlit tři základní způsoby financování vývoje videoher</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Vyjmenovat významné oborové akce ve světě a charakterizovat jejich zaměření</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Sestavování producentského záměru vývoje videohry</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Vysvětlit vhodnost námětu k vývoji videohry podle zadání autorizované osoby na konkrétní platformě</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Na základě námětu podle zadání autorizované osoby navrhnout monetizační (obchodní) model a určit cílovém publikum</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Popsat základní právní aspekty vývoje zvolené hry (autorské právo, licence, pracovní právo)</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d) Identifikovat a vysvětlit rizika vývoje zvolené hry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e) Navrhnout rámcový produkční plán jednotlivých fází vývoje zvolené videohry a jejich výstupů</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Praktické předvedení a ústní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f) Navrhnout klíčová výkonnostní kritéria (KPI) a obchodní potenciál a unikátní prodejní aspekty (unique selling points) zvolené videohry</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Praktické předvedení a ústní ověření</w:t>
      </w:r>
    </w:p>
    <w:p>
      <w:pPr>
        <w:pStyle w:val="P12"/>
        <w:framePr w:w="6710" w:h="607" w:hRule="exact" w:wrap="none" w:vAnchor="page" w:hAnchor="margin" w:x="45" w:y="12926"/>
        <w:rPr>
          <w:rStyle w:val="C3"/>
          <w:rtl w:val="0"/>
        </w:rPr>
      </w:pPr>
    </w:p>
    <w:p>
      <w:pPr>
        <w:pStyle w:val="P13"/>
        <w:framePr w:w="6658" w:h="480" w:hRule="exact" w:wrap="none" w:vAnchor="page" w:hAnchor="margin" w:x="71" w:y="12982"/>
        <w:rPr>
          <w:rStyle w:val="C11"/>
          <w:rtl w:val="0"/>
        </w:rPr>
      </w:pPr>
      <w:r>
        <w:rPr>
          <w:rStyle w:val="C11"/>
          <w:rtl w:val="0"/>
        </w:rPr>
        <w:t>g) Sestavit odhad prodejů srovnáním s jinými videohrami s podobným rozpočtem</w:t>
      </w:r>
    </w:p>
    <w:p>
      <w:pPr>
        <w:pStyle w:val="P28"/>
        <w:framePr w:w="3921" w:h="607" w:hRule="exact" w:wrap="none" w:vAnchor="page" w:hAnchor="margin" w:x="6800" w:y="12926"/>
        <w:rPr>
          <w:rStyle w:val="C3"/>
          <w:rtl w:val="0"/>
        </w:rPr>
      </w:pPr>
    </w:p>
    <w:p>
      <w:pPr>
        <w:pStyle w:val="P29"/>
        <w:framePr w:w="3839" w:h="480" w:hRule="exact" w:wrap="none" w:vAnchor="page" w:hAnchor="margin" w:x="6856" w:y="12982"/>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předprodukce vývoje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účel tvorby prototypu vybrané videohry podle zadání autorizované osoby, specifikovat cíle (kritéria hodnocení) prototypu z hlediska budoucí produkce a definovat jeho základní klíčové vlastnosti (key features)</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Navrhnout a vysvětlit personální zajištění prototypu zvolené videohry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Vysvětlit způsob práce klíčových tvůrčích a technických pracovníků při tvorbě prototypu zvolené videohry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Navrhnout rozpočet a harmonogram prototypu zvolené videohry</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Řízení produkce videohry</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Vyjmenovat assets a features využitelné ve hře zvolené podle zadání autorizované osoby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Navrhnout složení a hierarchii realizačního týmu (ve vztahu k vybranému praktickému příkladu videohry zvolené dle zadání autorizované osoby)</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Na zvolené videohře posoudit limity a výhody agilního vývoje, nutnost iterací a vysvětlit pojmy refaktorizace a optimalizace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Navrhnout rozpočet a harmonogram produkce zvolené videohry</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Vyjmenovat alespoň 2 příklady interních a externích rizik, která mohou nastat při produkci zvolené videohry, a nastínit zmírnění jejich dopadů</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Zpracovávání zadání pro ladění videohry</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 a průběh testování zvolené videohry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Popsat způsob získávání podkladů pro ladění zvolené videohry</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Zpracovat zadání pro testování zvolené videohry</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Popsat, jak standartně probíhají lokalizace do sekundárních jazyků</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Publikování a distribuce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u zvolené videohry zadání pro marketingovou a PR kampaň s ohledem na různé kultury, světové regiony a platformu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uvedení videohry zvolené podle zadání autorizované osoby na trh a její šíření (viz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Game as a Service, Game as a Product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rozdíl mezi self-publishingem a vydáním přes distributora - výhody, nevýhody, procesy; vybrat ideální způsob pro zvolenou hru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83" w:hRule="exact" w:wrap="none" w:vAnchor="page" w:hAnchor="margin" w:x="45" w:y="5166"/>
        <w:rPr>
          <w:rStyle w:val="C3"/>
          <w:rtl w:val="0"/>
        </w:rPr>
      </w:pPr>
    </w:p>
    <w:p>
      <w:pPr>
        <w:pStyle w:val="P13"/>
        <w:framePr w:w="6658" w:h="256" w:hRule="exact" w:wrap="none" w:vAnchor="page" w:hAnchor="margin" w:x="71" w:y="5222"/>
        <w:rPr>
          <w:rStyle w:val="C11"/>
          <w:rtl w:val="0"/>
        </w:rPr>
      </w:pPr>
      <w:r>
        <w:rPr>
          <w:rStyle w:val="C11"/>
          <w:rtl w:val="0"/>
        </w:rPr>
        <w:t>e) Popsat systémy a implementace věkových ratingů (např. ESRB, PEGI, aj.)</w:t>
      </w:r>
    </w:p>
    <w:p>
      <w:pPr>
        <w:pStyle w:val="P28"/>
        <w:framePr w:w="3921" w:h="383" w:hRule="exact" w:wrap="none" w:vAnchor="page" w:hAnchor="margin" w:x="6800" w:y="5166"/>
        <w:rPr>
          <w:rStyle w:val="C3"/>
          <w:rtl w:val="0"/>
        </w:rPr>
      </w:pPr>
    </w:p>
    <w:p>
      <w:pPr>
        <w:pStyle w:val="P29"/>
        <w:framePr w:w="3839" w:h="256"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Herní engine</w:t>
      </w:r>
      <w:r>
        <w:rPr>
          <w:rFonts w:ascii="Arial" w:cs="Arial" w:hAnsi="Arial" w:eastAsia="Arial"/>
          <w:b w:val="0"/>
          <w:i w:val="0"/>
          <w:caps w:val="0"/>
          <w:strike w:val="0"/>
          <w:noProof w:val="0"/>
          <w:vanish w:val="0"/>
          <w:color w:val="auto"/>
          <w:sz w:val="20"/>
          <w:u w:val="none"/>
          <w:shd w:val="clear" w:color="auto" w:fill="auto"/>
          <w:vertAlign w:val="baseline"/>
          <w:lang/>
        </w:rPr>
        <w:t xml:space="preserve"> je sada znovupoužitelných softwarových komponent, která soustřeďuje obecné funkce používané v počítačových hrách, díky čemuž dovoluje zrychlit a zlevnit vývoj nových her.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na trhu vývoje videoher: </w:t>
      </w:r>
      <w:r>
        <w:rPr>
          <w:rFonts w:ascii="Arial" w:cs="Arial" w:hAnsi="Arial" w:eastAsia="Arial"/>
          <w:b w:val="0"/>
          <w:i w:val="0"/>
          <w:caps w:val="0"/>
          <w:strike w:val="0"/>
          <w:noProof w:val="0"/>
          <w:vanish w:val="0"/>
          <w:color w:val="auto"/>
          <w:sz w:val="20"/>
          <w:u w:val="none"/>
          <w:shd w:val="clear" w:color="auto" w:fill="auto"/>
          <w:vertAlign w:val="baseline"/>
          <w:lang/>
        </w:rPr>
        <w:t>autorizovaná osoba navrhne 5 konkrétních termínů z oblasti technologií pokrývající oblasti vývoje - žánr, platformy, distribuční kanály a obchodní modely, animace, grafika, programování - herní enginy a softwarové nástroje (např. vysvětlit pojmy mesh, skeletová animace apod.)</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producentského záměru vývoje videohry, Řízení předprodukce vývoje videohry, Řízení produkce videohry, Zpracování zadání pro ladění videohry, Publikování a distribuce videohry: </w:t>
      </w: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kritéria s praktickým ověřením, které bude obsahovat výběr ze dvou her (ve variantě - 1x hra typu Free to play, 1x hra Premium). Uchazeč si vybere jednu z těchto dvou variant.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obsahu zadání bude:</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hry (high level concept, game loop) v rozsahu 1x A4</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vývoje (release plan and schedule)</w:t>
      </w:r>
    </w:p>
    <w:p>
      <w:pPr>
        <w:pStyle w:val="P33"/>
        <w:framePr w:w="10766" w:h="1837" w:hRule="exact" w:wrap="none" w:vAnchor="page" w:hAnchor="margin" w:x="0" w:y="11389"/>
        <w:rPr>
          <w:rStyle w:val="C3"/>
          <w:rtl w:val="0"/>
        </w:rPr>
      </w:pPr>
    </w:p>
    <w:p>
      <w:pPr>
        <w:pStyle w:val="P35"/>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3"/>
        <w:rPr>
          <w:rStyle w:val="C3"/>
          <w:rtl w:val="0"/>
        </w:rPr>
      </w:pPr>
    </w:p>
    <w:p>
      <w:pPr>
        <w:pStyle w:val="P35"/>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na pozici producent videoher.</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575"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praktickou část zkoušky v souladu s pokyny k realizaci zkoušky</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konkrétních termínů z oblasti technologií pokrývající oblasti vývoje videoher</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Dreadlocks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FAMU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Producent/producentka videoher, 30.9.2026 1:45:00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EA3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9E72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E27C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