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75C346" Type="http://schemas.openxmlformats.org/officeDocument/2006/relationships/officeDocument" Target="/word/document.xml" /><Relationship Id="coreR2D75C346" Type="http://schemas.openxmlformats.org/package/2006/relationships/metadata/core-properties" Target="/docProps/core.xml" /><Relationship Id="customR2D75C3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a elektronických hodin a hodinek (kód: 23-155-H)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Opravy miniaturních mechanických hodin se setrvačkou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Opravy setrvačky hodinek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Regulace, kontrola chodu na časovém komparátoru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Opravy kroků hodinek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64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705"/>
        <w:rPr>
          <w:rStyle w:val="C11"/>
          <w:rtl w:val="0"/>
        </w:rPr>
      </w:pPr>
      <w:r>
        <w:rPr>
          <w:rStyle w:val="C11"/>
          <w:rtl w:val="0"/>
        </w:rPr>
        <w:t>Opravy soukolí a třecích spojek</w:t>
      </w:r>
    </w:p>
    <w:p>
      <w:pPr>
        <w:pStyle w:val="P14"/>
        <w:framePr w:w="805" w:h="376" w:hRule="exact" w:wrap="none" w:vAnchor="page" w:hAnchor="margin" w:x="9916" w:y="1464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70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502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081"/>
        <w:rPr>
          <w:rStyle w:val="C13"/>
          <w:rtl w:val="0"/>
        </w:rPr>
      </w:pPr>
      <w:r>
        <w:rPr>
          <w:rStyle w:val="C13"/>
          <w:rtl w:val="0"/>
        </w:rPr>
        <w:t>Opravy pohonu hodinek</w:t>
      </w:r>
    </w:p>
    <w:p>
      <w:pPr>
        <w:pStyle w:val="P18"/>
        <w:framePr w:w="805" w:h="376" w:hRule="exact" w:wrap="none" w:vAnchor="page" w:hAnchor="margin" w:x="9916" w:y="1502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08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40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458"/>
        <w:rPr>
          <w:rStyle w:val="C11"/>
          <w:rtl w:val="0"/>
        </w:rPr>
      </w:pPr>
      <w:r>
        <w:rPr>
          <w:rStyle w:val="C11"/>
          <w:rtl w:val="0"/>
        </w:rPr>
        <w:t>Čistění hodinek</w:t>
      </w:r>
    </w:p>
    <w:p>
      <w:pPr>
        <w:pStyle w:val="P14"/>
        <w:framePr w:w="805" w:h="376" w:hRule="exact" w:wrap="none" w:vAnchor="page" w:hAnchor="margin" w:x="9916" w:y="1540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45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9:54:01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Opravy natahovacích a západkových mechanismů hodinek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Práce s pouzdry a ukazateli hodinek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Užití kalibru hodinek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Mazání hodinek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ve vlivech rušivě působících na přesnost chodu hodinek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Práce s nosnými a spojovacími částmi hodinek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Orientace v doplňkových mechanismech hodinek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Opravy datumových a kalendářních mechanismů hodinek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Opravy automatických nátahů hodinek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Opravy stopek a chronografů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Opravy hodinek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2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49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2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25"/>
        <w:rPr>
          <w:rStyle w:val="C13"/>
          <w:rtl w:val="0"/>
        </w:rPr>
      </w:pPr>
      <w:r>
        <w:rPr>
          <w:rStyle w:val="C13"/>
          <w:rtl w:val="0"/>
        </w:rPr>
        <w:t>Orientace v základních elektrotechnických součástkách, značkách, obvodech</w:t>
      </w:r>
    </w:p>
    <w:p>
      <w:pPr>
        <w:pStyle w:val="P18"/>
        <w:framePr w:w="805" w:h="376" w:hRule="exact" w:wrap="none" w:vAnchor="page" w:hAnchor="margin" w:x="9916" w:y="66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Orientace v elektromagnetismu</w:t>
      </w:r>
    </w:p>
    <w:p>
      <w:pPr>
        <w:pStyle w:val="P14"/>
        <w:framePr w:w="805" w:h="376" w:hRule="exact" w:wrap="none" w:vAnchor="page" w:hAnchor="margin" w:x="9916" w:y="70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78"/>
        <w:rPr>
          <w:rStyle w:val="C13"/>
          <w:rtl w:val="0"/>
        </w:rPr>
      </w:pPr>
      <w:r>
        <w:rPr>
          <w:rStyle w:val="C13"/>
          <w:rtl w:val="0"/>
        </w:rPr>
        <w:t>Užívání zdrojů elektrické energie pro napájení hodin a hodinek</w:t>
      </w:r>
    </w:p>
    <w:p>
      <w:pPr>
        <w:pStyle w:val="P18"/>
        <w:framePr w:w="805" w:h="376" w:hRule="exact" w:wrap="none" w:vAnchor="page" w:hAnchor="margin" w:x="9916" w:y="74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7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54"/>
        <w:rPr>
          <w:rStyle w:val="C11"/>
          <w:rtl w:val="0"/>
        </w:rPr>
      </w:pPr>
      <w:r>
        <w:rPr>
          <w:rStyle w:val="C11"/>
          <w:rtl w:val="0"/>
        </w:rPr>
        <w:t>Elektrotechnická měření</w:t>
      </w:r>
    </w:p>
    <w:p>
      <w:pPr>
        <w:pStyle w:val="P14"/>
        <w:framePr w:w="805" w:h="376" w:hRule="exact" w:wrap="none" w:vAnchor="page" w:hAnchor="margin" w:x="9916" w:y="77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5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30"/>
        <w:rPr>
          <w:rStyle w:val="C13"/>
          <w:rtl w:val="0"/>
        </w:rPr>
      </w:pPr>
      <w:r>
        <w:rPr>
          <w:rStyle w:val="C13"/>
          <w:rtl w:val="0"/>
        </w:rPr>
        <w:t>Opravy elektrických hodin</w:t>
      </w:r>
    </w:p>
    <w:p>
      <w:pPr>
        <w:pStyle w:val="P18"/>
        <w:framePr w:w="805" w:h="376" w:hRule="exact" w:wrap="none" w:vAnchor="page" w:hAnchor="margin" w:x="9916" w:y="81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3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06"/>
        <w:rPr>
          <w:rStyle w:val="C11"/>
          <w:rtl w:val="0"/>
        </w:rPr>
      </w:pPr>
      <w:r>
        <w:rPr>
          <w:rStyle w:val="C11"/>
          <w:rtl w:val="0"/>
        </w:rPr>
        <w:t>Opravy elektronických hodin a hodinek</w:t>
      </w:r>
    </w:p>
    <w:p>
      <w:pPr>
        <w:pStyle w:val="P14"/>
        <w:framePr w:w="805" w:h="376" w:hRule="exact" w:wrap="none" w:vAnchor="page" w:hAnchor="margin" w:x="9916" w:y="85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2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83"/>
        <w:rPr>
          <w:rStyle w:val="C13"/>
          <w:rtl w:val="0"/>
        </w:rPr>
      </w:pPr>
      <w:r>
        <w:rPr>
          <w:rStyle w:val="C13"/>
          <w:rtl w:val="0"/>
        </w:rPr>
        <w:t>Základní orientace ve funkci a užití piezoelektrické krystalové/piezokrystalové jednotky (PKJ)</w:t>
      </w:r>
    </w:p>
    <w:p>
      <w:pPr>
        <w:pStyle w:val="P18"/>
        <w:framePr w:w="805" w:h="376" w:hRule="exact" w:wrap="none" w:vAnchor="page" w:hAnchor="margin" w:x="9916" w:y="892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8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59"/>
        <w:rPr>
          <w:rStyle w:val="C11"/>
          <w:rtl w:val="0"/>
        </w:rPr>
      </w:pPr>
      <w:r>
        <w:rPr>
          <w:rStyle w:val="C11"/>
          <w:rtl w:val="0"/>
        </w:rPr>
        <w:t>Práce s elektromechanickými měniči (krokovými motorky) elektronických hodin a hodinek</w:t>
      </w:r>
    </w:p>
    <w:p>
      <w:pPr>
        <w:pStyle w:val="P14"/>
        <w:framePr w:w="805" w:h="376" w:hRule="exact" w:wrap="none" w:vAnchor="page" w:hAnchor="margin" w:x="9916" w:y="93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35"/>
        <w:rPr>
          <w:rStyle w:val="C13"/>
          <w:rtl w:val="0"/>
        </w:rPr>
      </w:pPr>
      <w:r>
        <w:rPr>
          <w:rStyle w:val="C13"/>
          <w:rtl w:val="0"/>
        </w:rPr>
        <w:t>Opravy a nastavení hodin a hodinek s číslicovým zobrazením</w:t>
      </w:r>
    </w:p>
    <w:p>
      <w:pPr>
        <w:pStyle w:val="P18"/>
        <w:framePr w:w="805" w:h="376" w:hRule="exact" w:wrap="none" w:vAnchor="page" w:hAnchor="margin" w:x="9916" w:y="96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11"/>
        <w:rPr>
          <w:rStyle w:val="C11"/>
          <w:rtl w:val="0"/>
        </w:rPr>
      </w:pPr>
      <w:r>
        <w:rPr>
          <w:rStyle w:val="C11"/>
          <w:rtl w:val="0"/>
        </w:rPr>
        <w:t>Seřizování hodin a hodinek řízených radiovými signály</w:t>
      </w:r>
    </w:p>
    <w:p>
      <w:pPr>
        <w:pStyle w:val="P14"/>
        <w:framePr w:w="805" w:h="376" w:hRule="exact" w:wrap="none" w:vAnchor="page" w:hAnchor="margin" w:x="9916" w:y="100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0998"/>
        <w:rPr>
          <w:rStyle w:val="C17"/>
          <w:rtl w:val="0"/>
        </w:rPr>
      </w:pPr>
      <w:r>
        <w:rPr>
          <w:rStyle w:val="C17"/>
          <w:rtl w:val="0"/>
        </w:rPr>
        <w:t>Standard je platný od: 06.01.2023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9:54:01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variantní zadání písemného ověřování s otevřenými otázkami pro kritéria, u kterých je jako způsob ověření uvedeno "Písemné ověření".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uchazeči určí praktickou práci - opravu konkrétního budíku, bicích hodin, celkovou opravu mechanických hodinek a celkovou opravu konkrétních elektrických hodin a elektronických hodinek. Autorizovaná osoba nasimuluje závady na uvedených předmětech. Součástí praktické práce jsou rovněž dílčí činnosti, při kterých uchazeč prokáže praktické dovednosti vztahující se ke kritériím, u kterých je uvedeno "Praktické předvedení".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kterých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9:54:01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9:54:01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ED3381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