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BA3B9" Type="http://schemas.openxmlformats.org/officeDocument/2006/relationships/officeDocument" Target="/word/document.xml" /><Relationship Id="coreR35EBA3B9" Type="http://schemas.openxmlformats.org/package/2006/relationships/metadata/core-properties" Target="/docProps/core.xml" /><Relationship Id="customR35EBA3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(kód: 23-157-H)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uchazeči praktickou práci - opravu konkrétního budíku a bicích hodin. Autorizovaná osoba nasimuluje závady na uvedených předmětech. Součástí praktické práce jsou rovněž dílčí činnosti, při kterých uchazeč prokáže praktické dovednosti vztahující se ke kritériím, u kterých je uvedeno "Praktické předvedení".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nichž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3D7CA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