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C5B22" Type="http://schemas.openxmlformats.org/officeDocument/2006/relationships/officeDocument" Target="/word/document.xml" /><Relationship Id="coreR743C5B22" Type="http://schemas.openxmlformats.org/package/2006/relationships/metadata/core-properties" Target="/docProps/core.xml" /><Relationship Id="customR743C5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Výrobce/výrobkyně jedno- nebo třídílných matrací z přírodních materiálů a střední vzdělání s maturitní zkouškou a alespoň 5 let odborné praxe v oblasti výroby matrací jedno nebo třídílných.</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20.10.2026 6:45:05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AE715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9F7A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6BCA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73A29B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