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6163" Type="http://schemas.openxmlformats.org/officeDocument/2006/relationships/officeDocument" Target="/word/document.xml" /><Relationship Id="coreRF96163" Type="http://schemas.openxmlformats.org/package/2006/relationships/metadata/core-properties" Target="/docProps/core.xml" /><Relationship Id="customRF961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jedno nebo třídílných matrací z přírodních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nářadí  pro výrobu jedno nebo třídílných matrací z přírodních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Přípravné práce pro zhotovování jednodílných nebo třídílných matrací z přírodních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strojové dělení materiálů pro zhotovování matrací z přírodních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zhotovování jedno nebo třídílné matrace z přírodních materiálů a pružinové kostry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zhotovování jedno nebo třídílné matrace z přírodních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Strojní zhotovování matrací z přírodních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30.9.2026 0:38:54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Ručně jeden díl třídílné matrace o rozměru (80 x 65 x 16) cm s pružinovou kostrou Bonell a přírodními materiály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Ručně jeden díl třídílné matrace o rozměru (80 x 65 x 12) cm plněný přírodním materiálem s potahem z matracoviny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Strojově jeden díl třídílné matrace o rozměru (80 x 65 x 14) cm plněný přírodním materiálem se strojově ušitým potahem z matracoviny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30.9.2026 0:38:54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30.9.2026 0:38:54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AEF59F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