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9F5AE9" Type="http://schemas.openxmlformats.org/officeDocument/2006/relationships/officeDocument" Target="/word/document.xml" /><Relationship Id="coreRD9F5AE9" Type="http://schemas.openxmlformats.org/package/2006/relationships/metadata/core-properties" Target="/docProps/core.xml" /><Relationship Id="customRD9F5A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jedno- nebo třídílných matrací z přírodních materiálů (kód: 33-010-H)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jedno- nebo třídílných matrací z přírodních materiálů, 20.10.2026 10:58:13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jedno- nebo třídílných matrací z přírodních materiálů, 20.10.2026 10:58:13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jedno- nebo třídílných matrací z přírodních materiálů, 20.10.2026 10:58:13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