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32E31" Type="http://schemas.openxmlformats.org/officeDocument/2006/relationships/officeDocument" Target="/word/document.xml" /><Relationship Id="coreR1132E31" Type="http://schemas.openxmlformats.org/package/2006/relationships/metadata/core-properties" Target="/docProps/core.xml" /><Relationship Id="customR1132E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jedno-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jedno nebo třídílných matrací z přírodních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nářadí  pro výrobu jedno nebo třídílných matrací z přírodních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Přípravné práce pro zhotovování jednodílných nebo třídílných matrací z přírodních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strojové dělení materiálů pro zhotovování matrací z přírodních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zhotovování jedno nebo třídílné matrace z přírodních materiálů a pružinové kostry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zhotovování jedno nebo třídílné matrace z přírodních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Strojní zhotovování matrací z přírodních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jedno- nebo třídílných matrací z přírodních materiálů, 30.9.2026 6:53:29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Ručně jeden díl třídílné matrace o rozměru (80 x 65 x 16) cm s pružinovou kostrou Bonell a přírodními materiály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Ručně jeden díl třídílné matrace o rozměru (80 x 65 x 12) cm plněný přírodním materiálem s potahem z matracoviny 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Strojově jeden díl třídílné matrace o rozměru (80 x 65 x 14) cm plněný přírodním materiálem se strojově ušitým potahem z matracoviny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materiálů, prefabrikátů, druhů matrací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přinese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jedno- nebo třídílných matrací z přírodních materiálů, 30.9.2026 6:53:29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jedno- nebo třídílných matrací z přírodních materiálů, 30.9.2026 6:53:29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8449E9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