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6F3215" Type="http://schemas.openxmlformats.org/officeDocument/2006/relationships/officeDocument" Target="/word/document.xml" /><Relationship Id="coreR716F3215" Type="http://schemas.openxmlformats.org/package/2006/relationships/metadata/core-properties" Target="/docProps/core.xml" /><Relationship Id="customR716F32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 lepenkových obalů (kód: 34-058-M)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technické dokumentaci pro konstrukci obalů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konstrukční dokumentace pro výrobu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Laboratorní metodika a stanovování kvality materiálu a konstrukce obalu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lepenkového obalu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vnitřního prostředí v obalu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konstrukčních podkladů pro výrobce nástrojů určených pro výsek obalů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Ukládání konstrukcí produktů do podnikového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navrhování inovací obalů a balicích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Vizualizace v 3D a grafika pro marketingové účely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30.9.2026 5:02:44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https://www.nsp.cz/jednotka-prace/obalovy-technik#zdravotni-zpusobilost).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se opírá o tyto normy: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FEFCO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ECMA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•DIN 55468.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ústní části a praktické části, přičemž ústní ověření doplňuje i část praktickou. V rámci ústního ověření přidělí autorizovaná osoba uchazeči pro ověření každé kompetence vždy po dvou otázkách.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30.9.2026 5:02:44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SERVISBAL OBALY s. r. o.,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SYBA,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30.9.2026 5:02:44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ACF49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