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6C40A" Type="http://schemas.openxmlformats.org/officeDocument/2006/relationships/officeDocument" Target="/word/document.xml" /><Relationship Id="coreR65E6C40A" Type="http://schemas.openxmlformats.org/package/2006/relationships/metadata/core-properties" Target="/docProps/core.xml" /><Relationship Id="customR65E6C4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Softwarový specialista/softwarová specialistka automobilových systémů (kód: 23-158-M)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a elektronickými dílenskými příručkami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systémů automobilu z pohledu uživatele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 použití online služeb automobilů a jejich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koncových mobilních zařízeních, mobilních telekomunikačních standardech a informačních systémech a jejich ovládání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servisních úkonů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Vzdálená diagnostika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https://nsp.cz/jednotka-prace/autotronik#zdravotni-zpusobilost).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se bude provádět podle jednotlivých kritérií uvedených v tomto standardu.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Ovládání systémů automobilu z pohledu uživatele, Provádění servisních úkonů, Vzdálená diagnostika systémů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(zkušební automobil)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Instalace a použití online služeb automobilů a jejich aplikací, Orientace v koncových mobilních zařízeních, mobilních telekomunikačních standardech a informačních systémech a jejich ovládání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dvou externích zařízení připojitelných k vozidlu - mobilní telefon, tablet, notebook atd.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na dvou smartphonech využívajících Bluetooth, MirrorLink, Apple CarPlay a AndroidAuto k propojení s vozidlem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SAČR,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Jetmar, Brno,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6A9B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8CB8F5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F4B17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