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1B6E1" Type="http://schemas.openxmlformats.org/officeDocument/2006/relationships/officeDocument" Target="/word/document.xml" /><Relationship Id="coreR3081B6E1" Type="http://schemas.openxmlformats.org/package/2006/relationships/metadata/core-properties" Target="/docProps/core.xml" /><Relationship Id="customR3081B6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čalouněných sedadel a opěradel židlí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čalouněných sedadel a opěradel židlí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dělení tvarovacích a kypřicích materiálů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potahů čalouněných sedadel a opěradel židlí na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nosných základů čalounění sedadla a opěradla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tvaru čalounění sedadla a opěradla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Potahování sedadla a opěradla  židlí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7.11.2026 17:32:42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čalouněné sedadlo židle s pružným podkladem – potah useň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čalouněné opěradlo židle tvarované pomocí vtahových prvků – potah useň 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čalouněné sedadlo židle s pevným podkladem – potah textilie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7.11.2026 17:32:42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DESIGN,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7.11.2026 17:32:42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C39CD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