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6495AB" Type="http://schemas.openxmlformats.org/officeDocument/2006/relationships/officeDocument" Target="/word/document.xml" /><Relationship Id="coreR7C6495AB" Type="http://schemas.openxmlformats.org/package/2006/relationships/metadata/core-properties" Target="/docProps/core.xml" /><Relationship Id="customR7C6495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včetně čtení výkresů čalouněných sedadel a opěradel židlí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čalouněných sedadel a opěradel židlí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dělení tvarovacích a kypřicích materiálů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potahů čalouněných sedadel a opěradel židlí na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nosných základů čalounění sedadla a opěradla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tvaru čalounění sedadla a opěradla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 xml:space="preserve">Potahování sedadla a opěradla  židlí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čalouněných sedadel a opěradel židlí, 8.9.2026 8:55:08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sedadlo židle s pružným podkladem – potah useň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•čalouněné opěradlo židle tvarované pomocí vtahových prvků – potah useň 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sedadlo židle s pevným podkladem – potah textilie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čalouněných sedadel a opěradel židlí, 8.9.2026 8:55:08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DESIGN,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čalouněných sedadel a opěradel židlí, 8.9.2026 8:55:08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75FEF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