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5B93B" Type="http://schemas.openxmlformats.org/officeDocument/2006/relationships/officeDocument" Target="/word/document.xml" /><Relationship Id="coreR35B5B93B" Type="http://schemas.openxmlformats.org/package/2006/relationships/metadata/core-properties" Target="/docProps/core.xml" /><Relationship Id="customR35B5B9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uživatelského rozhraní videoher (kód: 82-061-M)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oboru a funkce UX/UI ve vývoji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uživatelské analýzy videohry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20.10.2026 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uživatelského rozhraní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hry v rozsahu design dokumentu, který obsahuje: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příběhové pozadí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cílovou skupinu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herní platformu (PC, stolní konzole, mobilní zařízení) 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ověřuje, jakým způsobem by zkoušený naplánoval kvantitativní studii, co měřit, odkud brát data, co by mohlo být problematické, tedy plán návrhu a analýzy studie.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se ověřuje, jakým způsobem by zkoušený naplánoval kvalitativní studii, jak by vysvětlil technologické a umělecké aspekty, jak by vedl uživatelské testování UI/UX.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uživatelského rozhraní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není nutné tvořit kompletní wireframe a styleguide - zejména pokud jde o rozsáhlý herní projekt. Může jít o wireframe a styleguide jen dané části video hry ze zadání. Podstatné je, aby z množství odvedené práce bylo možno posoudit schopnost uchazeče zpracovat UX/UI hry jako celek.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20.10.2026 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Špiřík, Bohemia Interactiv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Hustoles,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Marek Toušek, Bohemian Multimedia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20.10.2026 7:37:06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8324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