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FDE3F" Type="http://schemas.openxmlformats.org/officeDocument/2006/relationships/officeDocument" Target="/word/document.xml" /><Relationship Id="coreR9FFDE3F" Type="http://schemas.openxmlformats.org/package/2006/relationships/metadata/core-properties" Target="/docProps/core.xml" /><Relationship Id="customR9FFDE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postupů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strojírenskou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uspořádání výrobních prostorů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pro strojírenskou výrobu, 20.6.2026 20:03:37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až d) uchazeč vyčte z poskytnuté dokumentace technické parametry výroby zadané jedné součásti včetně technologického postupu, podmínek výroby a nástrojů a nářadí, vytvoří model zadaného jednoho dílu a jeho technický výkres a provede jeden pomocný výpočet.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technologických postupů ve strojírenské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uchazeč vyhotoví postup prací pro jednu stanovenou rotační součást a pro jednu stanovenou hranolovitou součást do určeného formuláře.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pro strojírenskou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a c) uchazeč vyhotoví návrh dvou přípravků dle konkrétního zadání autorizované osoby. Zadání bude autorizovanou osobou uchazeči upřesněno v termínu 7 až 14 dní před vlastním termínem zkoušky.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změří a zkontroluje délkové rozměry a geometrický tvar jedné zadané součásti a vyhodnotí výsledek měření.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uspořádání výrobních prostorů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vypracuje schéma jednoho zadaného výrobního prostoru včetně přesunu polotovarů, měřicích míst, evidence a expedice vyrobených 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pro strojírenskou výrobu, 20.6.2026 20:03:37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pro strojírenskou výrobu, 20.6.2026 20:03:37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