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E06EB" Type="http://schemas.openxmlformats.org/officeDocument/2006/relationships/officeDocument" Target="/word/document.xml" /><Relationship Id="coreR422E06EB" Type="http://schemas.openxmlformats.org/package/2006/relationships/metadata/core-properties" Target="/docProps/core.xml" /><Relationship Id="customR422E0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https://www.nsp.cz/jednotka-prace/autotronik#zdravotni-zpusobilost).</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 řidičské oprávnění skupiny B.</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2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PO, ochrany zdraví, životního prostředí a právních předpisů při opravách vozidel s hybridním a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automobilů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osobních automobilech s elektropohonem, včetně měření jednotlivých veličin</w:t>
      </w:r>
      <w:r>
        <w:rPr>
          <w:rFonts w:ascii="Arial" w:cs="Arial" w:hAnsi="Arial" w:eastAsia="Arial"/>
          <w:b w:val="0"/>
          <w:i w:val="0"/>
          <w:caps w:val="0"/>
          <w:strike w:val="0"/>
          <w:noProof w:val="0"/>
          <w:vanish w:val="0"/>
          <w:color w:val="auto"/>
          <w:sz w:val="20"/>
          <w:u w:val="none"/>
          <w:shd w:val="clear" w:color="auto" w:fill="auto"/>
          <w:vertAlign w:val="baseline"/>
          <w:lang/>
        </w:rPr>
        <w:t>, kritéria a), b), c), d)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akumulátorů a jejich uložení v osobních a užitkových automobilech s elektropohonem</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elektromobilu 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dobíjení akumulátorů</w:t>
      </w:r>
      <w:r>
        <w:rPr>
          <w:rFonts w:ascii="Arial" w:cs="Arial" w:hAnsi="Arial" w:eastAsia="Arial"/>
          <w:b w:val="0"/>
          <w:i w:val="0"/>
          <w:caps w:val="0"/>
          <w:strike w:val="0"/>
          <w:noProof w:val="0"/>
          <w:vanish w:val="0"/>
          <w:color w:val="auto"/>
          <w:sz w:val="20"/>
          <w:u w:val="none"/>
          <w:shd w:val="clear" w:color="auto" w:fill="auto"/>
          <w:vertAlign w:val="baseline"/>
          <w:lang/>
        </w:rPr>
        <w:t>, kritéria a), b)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konstrukci a činnosti elektropohonu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elektromobilu.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Orientace v uspořádání a konstrukci hybridních pohonů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ověřit na hybridním vozidle. Konkrétní instrukce dá při zkoušce uchazeči autorizovaná osoba.</w:t>
      </w:r>
    </w:p>
    <w:p>
      <w:pPr>
        <w:keepNext w:val="0"/>
        <w:keepLines w:val="1"/>
        <w:framePr w:w="10766" w:h="1124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1"/>
          <w:i w:val="0"/>
          <w:caps w:val="0"/>
          <w:strike w:val="0"/>
          <w:noProof w:val="0"/>
          <w:vanish w:val="0"/>
          <w:color w:val="auto"/>
          <w:sz w:val="20"/>
          <w:u w:val="none"/>
          <w:shd w:val="clear" w:color="auto" w:fill="auto"/>
          <w:vertAlign w:val="baseline"/>
          <w:lang/>
        </w:rPr>
        <w:t>Diagnostika a opravy elektrovozidel a vozidel s hybridním pohonem</w:t>
      </w:r>
      <w:r>
        <w:rPr>
          <w:rFonts w:ascii="Arial" w:cs="Arial" w:hAnsi="Arial" w:eastAsia="Arial"/>
          <w:b w:val="0"/>
          <w:i w:val="0"/>
          <w:caps w:val="0"/>
          <w:strike w:val="0"/>
          <w:noProof w:val="0"/>
          <w:vanish w:val="0"/>
          <w:color w:val="auto"/>
          <w:sz w:val="20"/>
          <w:u w:val="none"/>
          <w:shd w:val="clear" w:color="auto" w:fill="auto"/>
          <w:vertAlign w:val="baseline"/>
          <w:lang/>
        </w:rPr>
        <w:t>, kritéria a), b), c), d), e), f) ověřit na hybridním vozidle. Konkrétní instrukce dá při zkoušce uchazeči autorizovaná osoba.</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Držitel osvědčení o zkoušce z platné vyhlášky č. 50/1978, minimálně paragraf 6.</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 silničních vozidel s elektrickým a hybridním pohonem, 11.7.2026 6:55:08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EB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53F1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EA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69F5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