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49E6EF" Type="http://schemas.openxmlformats.org/officeDocument/2006/relationships/officeDocument" Target="/word/document.xml" /><Relationship Id="coreR2E49E6EF" Type="http://schemas.openxmlformats.org/package/2006/relationships/metadata/core-properties" Target="/docProps/core.xml" /><Relationship Id="customR2E49E6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16:16:11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16:16:11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16:16:11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16:16:11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https://www.nsp.cz/jednotka-prace/autotronik#zdravotni-zpusobilost).</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 řidičské oprávnění skupiny B.</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4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4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4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PO, ochrany zdraví, životního prostředí a právních předpisů při opravách vozidel s hybridním a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automobilů s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elektromobilu 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osobních automobilech s elektropohonem, včetně měření jednotlivých veličin</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konstrukci akumulátorů a jejich uložení v osobních a užitkových automobilech s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ověřit na elektromobilu 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dobíjení akumulátorů</w:t>
      </w:r>
      <w:r>
        <w:rPr>
          <w:rFonts w:ascii="Arial" w:cs="Arial" w:hAnsi="Arial" w:eastAsia="Arial"/>
          <w:b w:val="0"/>
          <w:i w:val="0"/>
          <w:caps w:val="0"/>
          <w:strike w:val="0"/>
          <w:noProof w:val="0"/>
          <w:vanish w:val="0"/>
          <w:color w:val="auto"/>
          <w:sz w:val="20"/>
          <w:u w:val="none"/>
          <w:shd w:val="clear" w:color="auto" w:fill="auto"/>
          <w:vertAlign w:val="baseline"/>
          <w:lang/>
        </w:rPr>
        <w:t>, kritéria a), b)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konstrukci a činnosti elektropohonu vozidel</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elektromobilu.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uspořádání a konstrukci hybridních pohonů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a opravy elektrovozidel a vozidel s hybridním pohonem</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a opravy elektrovozidel a vozidel s hybridním 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e), f) ověřit na hybridním vozidle. Konkrétní instrukce dá při zkoušce uchazeči autorizovaná osoba.</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16:16:11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1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6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16:16:11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16:16:11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16:16:11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E140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384B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E156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2EDCA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