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63C20E" Type="http://schemas.openxmlformats.org/officeDocument/2006/relationships/officeDocument" Target="/word/document.xml" /><Relationship Id="coreR3463C20E" Type="http://schemas.openxmlformats.org/package/2006/relationships/metadata/core-properties" Target="/docProps/core.xml" /><Relationship Id="customR3463C20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 na ofsetových archových strojích (kód: 34-010-H)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ofsetových archových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ofsetových archových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ofsetových archových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Převzetí a příprava potiskovaného materiálu, tiskových forem a tiskových barev na ofsetových archových strojích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seřízení ofsetových archových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Dodržení normativu při tisku celé zakázky na ofsetových archových strojích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Dokončení tisku, předání zakázky na ofsetových archových 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údržba a čištění tiskového stroje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Tiskař na ofsetových archových strojích, 28.9.2026 15:28:38</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363"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https://www.nsp.cz/jednotka-prace/tiskar-na-ofsetovych-arch#zdravotni-zpusobilost) a prokazuje se lékařským potvrzením, že netrpí poruchou barvocitu (poruchou barevného vidění).</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tiskové archy plakátu předá uchazeč po podpisu výrobního sáčku zpět autorizované osobě, resp. autorizovanému zástupci autorizované osoby k dalšímu zpracování.</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21"/>
        <w:framePr w:w="7654" w:h="331" w:hRule="exact" w:wrap="none" w:vAnchor="page" w:hAnchor="margin" w:x="28" w:y="15940"/>
        <w:rPr>
          <w:rStyle w:val="C16"/>
          <w:rtl w:val="0"/>
        </w:rPr>
      </w:pPr>
      <w:r>
        <w:rPr>
          <w:rStyle w:val="C16"/>
          <w:rtl w:val="0"/>
        </w:rPr>
        <w:t>Tiskař na ofsetových archových strojích, 28.9.2026 15:28:38</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Svoboda Press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 na ofsetových archových strojích, 28.9.2026 15:28:38</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