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6E9A4E" Type="http://schemas.openxmlformats.org/officeDocument/2006/relationships/officeDocument" Target="/word/document.xml" /><Relationship Id="coreR676E9A4E" Type="http://schemas.openxmlformats.org/package/2006/relationships/metadata/core-properties" Target="/docProps/core.xml" /><Relationship Id="customR676E9A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 na ofsetových archových strojích (kód: 34-010-H)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tiskařské práce, potřebných pomůcek a barev na ofsetových archových strojích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Převzetí výrobních podkladů pro tisk nové zakázky na ofsetových archových strojích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Převzetí a příprava potiskovaného materiálu, tiskových forem a tiskových barev na ofsetových archových strojích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seřízení ofsetových archových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Dodržení normativu při tisku celé zakázky na ofsetových archových strojích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Dokončení tisku, předání zakázky na ofsetových archových strojích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Kontrola, údržba a čištění tiskového stroje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řídící (RIP) a osvitové jednotky (CtP) (Computer to plate) včetně periférií, nastavení laserového osvitového zařízení, obsluha vyvolávací linky ve výrobě tiskových forem v archovém ofsetu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29.04.2013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ofsetových archových strojích, 28.9.2026 15:28:38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s ohledem na 2. stupeň zátěže (odkaz na povolání v NSP - http://katalog.nsp.cz/karta_p.aspx?id_jp=100233&amp;kod_sm1=33),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ofsetového tisku a opírá se o tyto normy: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Ofset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ofsetových archových strojích, 28.9.2026 15:28:38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polygrafii, média a informační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Mediacore,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 Praha 1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Eclipse Print,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ofsetových archových strojích, 28.9.2026 15:28:38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