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FF93E7" Type="http://schemas.openxmlformats.org/officeDocument/2006/relationships/officeDocument" Target="/word/document.xml" /><Relationship Id="coreR21FF93E7" Type="http://schemas.openxmlformats.org/package/2006/relationships/metadata/core-properties" Target="/docProps/core.xml" /><Relationship Id="customR21FF93E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hlubotiskových kotoučových strojích (kód: 34-012-H)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hlubotiskových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hlubotiskových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hlubotiskových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hlubotiskových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hlubotiskových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hlubotiskových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hlubotiskových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Tiskař na hlubotiskových kotoučových strojích, 18.10.2026 18:29:22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12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https://www.nsp.cz/jednotka-prace/tiskar-na-hlubotiskovych-#zdravotni-zpusobilost) a prokazuje se lékařským potvrzením, že netrpí poruchou barvocitu (poruchou barevného vidění).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papírové etikety předá uchazeč po podpisu výrobního sáčku zpět autorizované osobě, resp. autorizovanému zástupci autorizované osoby k dalšímu zpracování.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21"/>
        <w:framePr w:w="7654" w:h="331" w:hRule="exact" w:wrap="none" w:vAnchor="page" w:hAnchor="margin" w:x="28" w:y="15940"/>
        <w:rPr>
          <w:rStyle w:val="C16"/>
          <w:rtl w:val="0"/>
        </w:rPr>
      </w:pPr>
      <w:r>
        <w:rPr>
          <w:rStyle w:val="C16"/>
          <w:rtl w:val="0"/>
        </w:rPr>
        <w:t>Tiskař na hlubotiskových kotoučových strojích, 18.10.2026 18:29:22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Kvalifikační standard profesní kvalifikace připravila SR pro polygrafii, média a informační služby, ustavená a licencovaná pro tuto činnost HK ČR a SP ČR.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Svoboda Press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 na hlubotiskových kotoučových strojích, 18.10.2026 18:29:22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