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FF241" Type="http://schemas.openxmlformats.org/officeDocument/2006/relationships/officeDocument" Target="/word/document.xml" /><Relationship Id="coreR19AFF241" Type="http://schemas.openxmlformats.org/package/2006/relationships/metadata/core-properties" Target="/docProps/core.xml" /><Relationship Id="customR19AFF2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hlubotiskových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hlubotiskových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hlubotiskových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hlubotiskových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hlubotiskových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hlubotiskových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rycí a laserové jednotky včetně periférií, nastavení rycího a laserového osvitového zařízení v hlubotisku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7.11.2026 17:56:18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7.11.2026 17:56:18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polygrafii, média a informační služby,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hlubotiskových kotoučových strojích, 7.11.2026 17:56:18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