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CC93D7" Type="http://schemas.openxmlformats.org/officeDocument/2006/relationships/officeDocument" Target="/word/document.xml" /><Relationship Id="coreR48CC93D7" Type="http://schemas.openxmlformats.org/package/2006/relationships/metadata/core-properties" Target="/docProps/core.xml" /><Relationship Id="customR48CC93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 na sítotiskových strojích (kód: 34-013-H)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sítotiskových strojích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sítotiskových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 a tiskových barev na sítotiskových strojích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seřízení sítotiskových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sítotiskových strojích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Dokončení tisku, předání zakázky na sítotiskových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Kontrola, údržba a čištění tiskového stroje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řídící (RIP) a osvitové jednotky (CtS) (Computer to screen) včetně periférií, nastavení laserového osvitového zařízení v sítotisku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29.04.2013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sítotiskových strojích, 7.11.2026 17:57:36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- http://katalog.nsp.cz/karta_p.aspx?id_jp=100233&amp;kod_sm1=33),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sítotiskových strojích, 7.11.2026 17:57:36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polygrafii, média a informační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Eclipse Print,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sítotiskových strojích, 7.11.2026 17:57:36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