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EB40D" Type="http://schemas.openxmlformats.org/officeDocument/2006/relationships/officeDocument" Target="/word/document.xml" /><Relationship Id="coreR412EB40D" Type="http://schemas.openxmlformats.org/package/2006/relationships/metadata/core-properties" Target="/docProps/core.xml" /><Relationship Id="customR412EB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6:50:21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čekatel, která na základě rozhodnutí příslušné oblastní rady Horské služby nastoupila do příslušné části (letní a následně zimní) základní školy horské služby a splnila všechny podmínky v průběhu této školy horské služby.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6:50:21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6:50:21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