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5AAD3" Type="http://schemas.openxmlformats.org/officeDocument/2006/relationships/officeDocument" Target="/word/document.xml" /><Relationship Id="coreR7E75AAD3" Type="http://schemas.openxmlformats.org/package/2006/relationships/metadata/core-properties" Target="/docProps/core.xml" /><Relationship Id="customR7E75AA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28.06.2019</w:t>
      </w:r>
    </w:p>
    <w:p>
      <w:pPr>
        <w:pStyle w:val="P21"/>
        <w:framePr w:w="7654" w:h="331" w:hRule="exact" w:wrap="none" w:vAnchor="page" w:hAnchor="margin" w:x="28" w:y="15940"/>
        <w:rPr>
          <w:rStyle w:val="C16"/>
          <w:rtl w:val="0"/>
        </w:rPr>
      </w:pPr>
      <w:r>
        <w:rPr>
          <w:rStyle w:val="C16"/>
          <w:rtl w:val="0"/>
        </w:rPr>
        <w:t>Hrobník, 20.6.2026 19:49:52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neprůraznou podrážkou, kožené pracovní rukavice. Ostatní doplňky podle ročního období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Vybrat pro otevření a výkop hrobu ochranné pomůcky a vhodné nástroje</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 a ústní zdůvodnění</w:t>
      </w:r>
    </w:p>
    <w:p>
      <w:pPr>
        <w:pStyle w:val="P12"/>
        <w:framePr w:w="6710" w:h="1055" w:hRule="exact" w:wrap="none" w:vAnchor="page" w:hAnchor="margin" w:x="45" w:y="4959"/>
        <w:rPr>
          <w:rStyle w:val="C3"/>
          <w:rtl w:val="0"/>
        </w:rPr>
      </w:pPr>
    </w:p>
    <w:p>
      <w:pPr>
        <w:pStyle w:val="P13"/>
        <w:framePr w:w="6658" w:h="928" w:hRule="exact" w:wrap="none" w:vAnchor="page" w:hAnchor="margin" w:x="71" w:y="5015"/>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 Nástroje nepoužívat k jiným účelům</w:t>
      </w:r>
    </w:p>
    <w:p>
      <w:pPr>
        <w:pStyle w:val="P28"/>
        <w:framePr w:w="3921" w:h="1055" w:hRule="exact" w:wrap="none" w:vAnchor="page" w:hAnchor="margin" w:x="6800" w:y="4959"/>
        <w:rPr>
          <w:rStyle w:val="C3"/>
          <w:rtl w:val="0"/>
        </w:rPr>
      </w:pPr>
    </w:p>
    <w:p>
      <w:pPr>
        <w:pStyle w:val="P29"/>
        <w:framePr w:w="3839" w:h="928"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6014"/>
        <w:rPr>
          <w:rStyle w:val="C3"/>
          <w:rtl w:val="0"/>
        </w:rPr>
      </w:pPr>
    </w:p>
    <w:p>
      <w:pPr>
        <w:pStyle w:val="P17"/>
        <w:framePr w:w="6658" w:h="249" w:hRule="exact" w:wrap="none" w:vAnchor="page" w:hAnchor="margin" w:x="71" w:y="6070"/>
        <w:rPr>
          <w:rStyle w:val="C13"/>
          <w:rtl w:val="0"/>
        </w:rPr>
      </w:pPr>
      <w:r>
        <w:rPr>
          <w:rStyle w:val="C13"/>
          <w:rtl w:val="0"/>
        </w:rPr>
        <w:t>d) Dodržovat osobní hygienu v průběhu pracovních činností</w:t>
      </w:r>
    </w:p>
    <w:p>
      <w:pPr>
        <w:pStyle w:val="P30"/>
        <w:framePr w:w="3921" w:h="376" w:hRule="exact" w:wrap="none" w:vAnchor="page" w:hAnchor="margin" w:x="6800" w:y="6014"/>
        <w:rPr>
          <w:rStyle w:val="C3"/>
          <w:rtl w:val="0"/>
        </w:rPr>
      </w:pPr>
    </w:p>
    <w:p>
      <w:pPr>
        <w:pStyle w:val="P31"/>
        <w:framePr w:w="3839" w:h="249" w:hRule="exact" w:wrap="none" w:vAnchor="page" w:hAnchor="margin" w:x="6856" w:y="6070"/>
        <w:rPr>
          <w:rStyle w:val="C22"/>
          <w:rtl w:val="0"/>
        </w:rPr>
      </w:pPr>
      <w:r>
        <w:rPr>
          <w:rStyle w:val="C22"/>
          <w:rtl w:val="0"/>
        </w:rPr>
        <w:t>Praktické předvedení a ústní zdůvodnění</w:t>
      </w:r>
    </w:p>
    <w:p>
      <w:pPr>
        <w:pStyle w:val="P12"/>
        <w:framePr w:w="6710" w:h="1055" w:hRule="exact" w:wrap="none" w:vAnchor="page" w:hAnchor="margin" w:x="45" w:y="6390"/>
        <w:rPr>
          <w:rStyle w:val="C3"/>
          <w:rtl w:val="0"/>
        </w:rPr>
      </w:pPr>
    </w:p>
    <w:p>
      <w:pPr>
        <w:pStyle w:val="P13"/>
        <w:framePr w:w="6658" w:h="928" w:hRule="exact" w:wrap="none" w:vAnchor="page" w:hAnchor="margin" w:x="71" w:y="6446"/>
        <w:rPr>
          <w:rStyle w:val="C11"/>
          <w:rtl w:val="0"/>
        </w:rPr>
      </w:pPr>
      <w:r>
        <w:rPr>
          <w:rStyle w:val="C11"/>
          <w:rtl w:val="0"/>
        </w:rPr>
        <w:t>e) Vysvětlit na příkladech kritické hygienické body a místa kritická pro zranění nebo zavlečení nákazy do organismu. Uvést, kdy a za jakých podmínek lze do hrobky vstupovat, opocení stěn a krycí desky, upozornit na sníženou citlivost za mrazu</w:t>
      </w:r>
    </w:p>
    <w:p>
      <w:pPr>
        <w:pStyle w:val="P28"/>
        <w:framePr w:w="3921" w:h="1055" w:hRule="exact" w:wrap="none" w:vAnchor="page" w:hAnchor="margin" w:x="6800" w:y="6390"/>
        <w:rPr>
          <w:rStyle w:val="C3"/>
          <w:rtl w:val="0"/>
        </w:rPr>
      </w:pPr>
    </w:p>
    <w:p>
      <w:pPr>
        <w:pStyle w:val="P29"/>
        <w:framePr w:w="3839" w:h="928" w:hRule="exact" w:wrap="none" w:vAnchor="page" w:hAnchor="margin" w:x="6856" w:y="6446"/>
        <w:rPr>
          <w:rStyle w:val="C21"/>
          <w:rtl w:val="0"/>
        </w:rPr>
      </w:pPr>
      <w:r>
        <w:rPr>
          <w:rStyle w:val="C21"/>
          <w:rtl w:val="0"/>
        </w:rPr>
        <w:t>Ústní ověření</w:t>
      </w:r>
    </w:p>
    <w:p>
      <w:pPr>
        <w:pStyle w:val="P16"/>
        <w:framePr w:w="6710" w:h="1055" w:hRule="exact" w:wrap="none" w:vAnchor="page" w:hAnchor="margin" w:x="45" w:y="7446"/>
        <w:rPr>
          <w:rStyle w:val="C3"/>
          <w:rtl w:val="0"/>
        </w:rPr>
      </w:pPr>
    </w:p>
    <w:p>
      <w:pPr>
        <w:pStyle w:val="P17"/>
        <w:framePr w:w="6658" w:h="928" w:hRule="exact" w:wrap="none" w:vAnchor="page" w:hAnchor="margin" w:x="71" w:y="7502"/>
        <w:rPr>
          <w:rStyle w:val="C13"/>
          <w:rtl w:val="0"/>
        </w:rPr>
      </w:pPr>
      <w:r>
        <w:rPr>
          <w:rStyle w:val="C13"/>
          <w:rtl w:val="0"/>
        </w:rPr>
        <w:t>f) Vysvětlit způsob dezinfekce pracovního oděvu a pomůcek, popř. způsob jejich detoxikace nebo likvidace. Vysvětlit důvody pro oddělení šatny špinavé a čisté, separátní pračky na montérky, separátního sociálního zařízení, sprchy</w:t>
      </w:r>
    </w:p>
    <w:p>
      <w:pPr>
        <w:pStyle w:val="P30"/>
        <w:framePr w:w="3921" w:h="1055" w:hRule="exact" w:wrap="none" w:vAnchor="page" w:hAnchor="margin" w:x="6800" w:y="7446"/>
        <w:rPr>
          <w:rStyle w:val="C3"/>
          <w:rtl w:val="0"/>
        </w:rPr>
      </w:pPr>
    </w:p>
    <w:p>
      <w:pPr>
        <w:pStyle w:val="P31"/>
        <w:framePr w:w="3839" w:h="928" w:hRule="exact" w:wrap="none" w:vAnchor="page" w:hAnchor="margin" w:x="6856" w:y="7502"/>
        <w:rPr>
          <w:rStyle w:val="C22"/>
          <w:rtl w:val="0"/>
        </w:rPr>
      </w:pPr>
      <w:r>
        <w:rPr>
          <w:rStyle w:val="C22"/>
          <w:rtl w:val="0"/>
        </w:rPr>
        <w:t>Ústní ověření</w:t>
      </w:r>
    </w:p>
    <w:p>
      <w:pPr>
        <w:pStyle w:val="P12"/>
        <w:framePr w:w="6710" w:h="1504" w:hRule="exact" w:wrap="none" w:vAnchor="page" w:hAnchor="margin" w:x="45" w:y="8501"/>
        <w:rPr>
          <w:rStyle w:val="C3"/>
          <w:rtl w:val="0"/>
        </w:rPr>
      </w:pPr>
    </w:p>
    <w:p>
      <w:pPr>
        <w:pStyle w:val="P13"/>
        <w:framePr w:w="6658" w:h="1377" w:hRule="exact" w:wrap="none" w:vAnchor="page" w:hAnchor="margin" w:x="71" w:y="8557"/>
        <w:rPr>
          <w:rStyle w:val="C11"/>
          <w:rtl w:val="0"/>
        </w:rPr>
      </w:pPr>
      <w:r>
        <w:rPr>
          <w:rStyle w:val="C11"/>
          <w:rtl w:val="0"/>
        </w:rPr>
        <w:t>g) Určit místo, oddělené od běžného odpadu, kam ukládat zbytky rakví, polštářů, oděvů, kytic, stuh apod. vyjmutých z hrobů a hrobek. Uvést, které vlastnosti činí tento odpad z pohřebiště nebezpečným (infekčnost) a jak s nebezpečnými odpady může správce pohřebiště nakládat podle zákona o odpadech. Odkázat na smluvní vztah s firmou oprávněnou k likvidaci tohoto odpadu</w:t>
      </w:r>
    </w:p>
    <w:p>
      <w:pPr>
        <w:pStyle w:val="P28"/>
        <w:framePr w:w="3921" w:h="1504" w:hRule="exact" w:wrap="none" w:vAnchor="page" w:hAnchor="margin" w:x="6800" w:y="8501"/>
        <w:rPr>
          <w:rStyle w:val="C3"/>
          <w:rtl w:val="0"/>
        </w:rPr>
      </w:pPr>
    </w:p>
    <w:p>
      <w:pPr>
        <w:pStyle w:val="P29"/>
        <w:framePr w:w="3839" w:h="1377" w:hRule="exact" w:wrap="none" w:vAnchor="page" w:hAnchor="margin" w:x="6856" w:y="8557"/>
        <w:rPr>
          <w:rStyle w:val="C21"/>
          <w:rtl w:val="0"/>
        </w:rPr>
      </w:pPr>
      <w:r>
        <w:rPr>
          <w:rStyle w:val="C21"/>
          <w:rtl w:val="0"/>
        </w:rPr>
        <w:t>Ústní ověření</w:t>
      </w:r>
    </w:p>
    <w:p>
      <w:pPr>
        <w:pStyle w:val="P16"/>
        <w:framePr w:w="6710" w:h="376" w:hRule="exact" w:wrap="none" w:vAnchor="page" w:hAnchor="margin" w:x="45" w:y="10005"/>
        <w:rPr>
          <w:rStyle w:val="C3"/>
          <w:rtl w:val="0"/>
        </w:rPr>
      </w:pPr>
    </w:p>
    <w:p>
      <w:pPr>
        <w:pStyle w:val="P17"/>
        <w:framePr w:w="6658" w:h="249" w:hRule="exact" w:wrap="none" w:vAnchor="page" w:hAnchor="margin" w:x="71" w:y="10061"/>
        <w:rPr>
          <w:rStyle w:val="C13"/>
          <w:rtl w:val="0"/>
        </w:rPr>
      </w:pPr>
      <w:r>
        <w:rPr>
          <w:rStyle w:val="C13"/>
          <w:rtl w:val="0"/>
        </w:rPr>
        <w:t>h) Vysvětlit pojem lidské ostatky</w:t>
      </w:r>
    </w:p>
    <w:p>
      <w:pPr>
        <w:pStyle w:val="P30"/>
        <w:framePr w:w="3921" w:h="376" w:hRule="exact" w:wrap="none" w:vAnchor="page" w:hAnchor="margin" w:x="6800" w:y="10005"/>
        <w:rPr>
          <w:rStyle w:val="C3"/>
          <w:rtl w:val="0"/>
        </w:rPr>
      </w:pPr>
    </w:p>
    <w:p>
      <w:pPr>
        <w:pStyle w:val="P31"/>
        <w:framePr w:w="3839" w:h="249" w:hRule="exact" w:wrap="none" w:vAnchor="page" w:hAnchor="margin" w:x="6856" w:y="10061"/>
        <w:rPr>
          <w:rStyle w:val="C22"/>
          <w:rtl w:val="0"/>
        </w:rPr>
      </w:pPr>
      <w:r>
        <w:rPr>
          <w:rStyle w:val="C22"/>
          <w:rtl w:val="0"/>
        </w:rPr>
        <w:t>Ústní ověření</w:t>
      </w:r>
    </w:p>
    <w:p>
      <w:pPr>
        <w:pStyle w:val="P12"/>
        <w:framePr w:w="6710" w:h="607" w:hRule="exact" w:wrap="none" w:vAnchor="page" w:hAnchor="margin" w:x="45" w:y="10381"/>
        <w:rPr>
          <w:rStyle w:val="C3"/>
          <w:rtl w:val="0"/>
        </w:rPr>
      </w:pPr>
    </w:p>
    <w:p>
      <w:pPr>
        <w:pStyle w:val="P13"/>
        <w:framePr w:w="6658" w:h="480" w:hRule="exact" w:wrap="none" w:vAnchor="page" w:hAnchor="margin" w:x="71" w:y="10437"/>
        <w:rPr>
          <w:rStyle w:val="C11"/>
          <w:rtl w:val="0"/>
        </w:rPr>
      </w:pPr>
      <w:r>
        <w:rPr>
          <w:rStyle w:val="C11"/>
          <w:rtl w:val="0"/>
        </w:rPr>
        <w:t>i) Likvidovat obaly a zbytky čisticích a úklidových prostředků podle předpisů na ochranu životního prostředí</w:t>
      </w:r>
    </w:p>
    <w:p>
      <w:pPr>
        <w:pStyle w:val="P28"/>
        <w:framePr w:w="3921" w:h="607" w:hRule="exact" w:wrap="none" w:vAnchor="page" w:hAnchor="margin" w:x="6800" w:y="10381"/>
        <w:rPr>
          <w:rStyle w:val="C3"/>
          <w:rtl w:val="0"/>
        </w:rPr>
      </w:pPr>
    </w:p>
    <w:p>
      <w:pPr>
        <w:pStyle w:val="P29"/>
        <w:framePr w:w="3839" w:h="480" w:hRule="exact" w:wrap="none" w:vAnchor="page" w:hAnchor="margin" w:x="6856" w:y="10437"/>
        <w:rPr>
          <w:rStyle w:val="C21"/>
          <w:rtl w:val="0"/>
        </w:rPr>
      </w:pPr>
      <w:r>
        <w:rPr>
          <w:rStyle w:val="C21"/>
          <w:rtl w:val="0"/>
        </w:rPr>
        <w:t>Ústní ověření</w:t>
      </w:r>
    </w:p>
    <w:p>
      <w:pPr>
        <w:pStyle w:val="P32"/>
        <w:framePr w:w="10710" w:h="248" w:hRule="exact" w:wrap="none" w:vAnchor="page" w:hAnchor="margin" w:x="28" w:y="11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20.6.2026 19:49:52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a hrobníkem a pohřební službou a činnostmi těchto osob. Jak lze kvalifikovat tyto činnosti bez příslušného povolení.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Dělit hrobová místa podle typů. Vysvětlit základní rozdíly mezi nezetlelými, zetlelými a zpopelněnými lidskými ostatky.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20.6.2026 19:49:52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a ústní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Zhotovit zábrany a pochůzkové plošiny pro spuštění rakve</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288"/>
        <w:rPr>
          <w:rStyle w:val="C3"/>
          <w:rtl w:val="0"/>
        </w:rPr>
      </w:pPr>
    </w:p>
    <w:p>
      <w:pPr>
        <w:pStyle w:val="P13"/>
        <w:framePr w:w="6658" w:h="480" w:hRule="exact" w:wrap="none" w:vAnchor="page" w:hAnchor="margin" w:x="71" w:y="6344"/>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6288"/>
        <w:rPr>
          <w:rStyle w:val="C3"/>
          <w:rtl w:val="0"/>
        </w:rPr>
      </w:pPr>
    </w:p>
    <w:p>
      <w:pPr>
        <w:pStyle w:val="P29"/>
        <w:framePr w:w="3839" w:h="480" w:hRule="exact" w:wrap="none" w:vAnchor="page" w:hAnchor="margin" w:x="6856" w:y="6344"/>
        <w:rPr>
          <w:rStyle w:val="C21"/>
          <w:rtl w:val="0"/>
        </w:rPr>
      </w:pPr>
      <w:r>
        <w:rPr>
          <w:rStyle w:val="C21"/>
          <w:rtl w:val="0"/>
        </w:rPr>
        <w:t>Praktické předvedení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Zhodnotit stav hrobu před vlastním pohřbením, odstranit závady</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 a ústní zdůvodnění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h) Zasypat hrob. Dbát na úpravu rovu, aby kopíroval tvar pohřbívané rakve</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Praktické předvedení a ústní zdůvodnění</w:t>
      </w:r>
    </w:p>
    <w:p>
      <w:pPr>
        <w:pStyle w:val="P12"/>
        <w:framePr w:w="6710" w:h="607" w:hRule="exact" w:wrap="none" w:vAnchor="page" w:hAnchor="margin" w:x="45" w:y="8254"/>
        <w:rPr>
          <w:rStyle w:val="C3"/>
          <w:rtl w:val="0"/>
        </w:rPr>
      </w:pPr>
    </w:p>
    <w:p>
      <w:pPr>
        <w:pStyle w:val="P13"/>
        <w:framePr w:w="6658" w:h="480" w:hRule="exact" w:wrap="none" w:vAnchor="page" w:hAnchor="margin" w:x="71" w:y="8310"/>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8254"/>
        <w:rPr>
          <w:rStyle w:val="C3"/>
          <w:rtl w:val="0"/>
        </w:rPr>
      </w:pPr>
    </w:p>
    <w:p>
      <w:pPr>
        <w:pStyle w:val="P29"/>
        <w:framePr w:w="3839" w:h="480" w:hRule="exact" w:wrap="none" w:vAnchor="page" w:hAnchor="margin" w:x="6856" w:y="8310"/>
        <w:rPr>
          <w:rStyle w:val="C21"/>
          <w:rtl w:val="0"/>
        </w:rPr>
      </w:pPr>
      <w:r>
        <w:rPr>
          <w:rStyle w:val="C21"/>
          <w:rtl w:val="0"/>
        </w:rPr>
        <w:t>Praktické předvedení</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861"/>
        <w:rPr>
          <w:rStyle w:val="C3"/>
          <w:rtl w:val="0"/>
        </w:rPr>
      </w:pPr>
    </w:p>
    <w:p>
      <w:pPr>
        <w:pStyle w:val="P31"/>
        <w:framePr w:w="3839" w:h="480" w:hRule="exact" w:wrap="none" w:vAnchor="page" w:hAnchor="margin" w:x="6856" w:y="8917"/>
        <w:rPr>
          <w:rStyle w:val="C22"/>
          <w:rtl w:val="0"/>
        </w:rPr>
      </w:pPr>
      <w:r>
        <w:rPr>
          <w:rStyle w:val="C22"/>
          <w:rtl w:val="0"/>
        </w:rPr>
        <w:t>Praktické předvedení a ústní zdůvodnění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Ukládání rakve s lidskými pozůstatky do hrobu nebo hrobky</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Obléknout se do společenského pietního oděvu a obuvi. Zvážit pokrývku hlavy</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Určit na hřbitově trasu pro pohřební průvod a stanovit, kdy začíná a končí pohřební obřad na pohřebišti</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c) Vysvětlit, jak dozorovat nebo přímo spouštět rakev do hrobu. Dbát na to, aby spouštění rakve nebylo započato od hlavy a nedošlo k porušení zásad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Umístit větší množství květinových darů (kytic, věnců, stuh apod.) dle místních zvyků</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20.6.2026 19:49:52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Během exhumace i po jejím ukončení dodržovat řád pohřebiště, především vyloučit přístup veřejnosti uzavřením pohřebiště nebo jeho části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Objasnit, kdo může nařídit exhumaci a kdo o ní požádat. Která osoba povoluje exhumaci před uplynutím tlecí doby a která po uplynutí tlecí doby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Zhodnotit stav dna po vykopání hrobu a uložení exhumovaných ostatků v rakvi nebo jen v textilním vaku (uzlíku) na dno do zářezu. Při manipulaci s lidskými ostatky zachovat pietu a důstojnost</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zdůvodnění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Dokumentovat původ exhumovaných lidských ostatků a splnit další zákonné podmínky pro jejich vydání nájemníkovi hrobového místa za účelem jejich přemístění mimo pohřebiště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a ústní zdůvodnění</w:t>
      </w:r>
    </w:p>
    <w:p>
      <w:pPr>
        <w:pStyle w:val="P16"/>
        <w:framePr w:w="6710" w:h="1055" w:hRule="exact" w:wrap="none" w:vAnchor="page" w:hAnchor="margin" w:x="45" w:y="8115"/>
        <w:rPr>
          <w:rStyle w:val="C3"/>
          <w:rtl w:val="0"/>
        </w:rPr>
      </w:pPr>
    </w:p>
    <w:p>
      <w:pPr>
        <w:pStyle w:val="P17"/>
        <w:framePr w:w="6658" w:h="928" w:hRule="exact" w:wrap="none" w:vAnchor="page" w:hAnchor="margin" w:x="71" w:y="8171"/>
        <w:rPr>
          <w:rStyle w:val="C13"/>
          <w:rtl w:val="0"/>
        </w:rPr>
      </w:pPr>
      <w:r>
        <w:rPr>
          <w:rStyle w:val="C13"/>
          <w:rtl w:val="0"/>
        </w:rPr>
        <w:t>h) Charakterizovat oprávněné osoby, které mají z občanského zákoníku právo na vydání lidských ostatků uložených mimo pohřebiště (např. kdo má právo na vydání urny se zpopelněnými lidskými ostatky uloženou v interiéru obytné prostory)</w:t>
      </w:r>
    </w:p>
    <w:p>
      <w:pPr>
        <w:pStyle w:val="P30"/>
        <w:framePr w:w="3921" w:h="1055" w:hRule="exact" w:wrap="none" w:vAnchor="page" w:hAnchor="margin" w:x="6800" w:y="8115"/>
        <w:rPr>
          <w:rStyle w:val="C3"/>
          <w:rtl w:val="0"/>
        </w:rPr>
      </w:pPr>
    </w:p>
    <w:p>
      <w:pPr>
        <w:pStyle w:val="P31"/>
        <w:framePr w:w="3839" w:h="928" w:hRule="exact" w:wrap="none" w:vAnchor="page" w:hAnchor="margin" w:x="6856" w:y="8171"/>
        <w:rPr>
          <w:rStyle w:val="C22"/>
          <w:rtl w:val="0"/>
        </w:rPr>
      </w:pPr>
      <w:r>
        <w:rPr>
          <w:rStyle w:val="C22"/>
          <w:rtl w:val="0"/>
        </w:rPr>
        <w:t>Ústní ověření</w:t>
      </w:r>
    </w:p>
    <w:p>
      <w:pPr>
        <w:pStyle w:val="P12"/>
        <w:framePr w:w="6710" w:h="1280" w:hRule="exact" w:wrap="none" w:vAnchor="page" w:hAnchor="margin" w:x="45" w:y="9170"/>
        <w:rPr>
          <w:rStyle w:val="C3"/>
          <w:rtl w:val="0"/>
        </w:rPr>
      </w:pPr>
    </w:p>
    <w:p>
      <w:pPr>
        <w:pStyle w:val="P13"/>
        <w:framePr w:w="6658" w:h="1153" w:hRule="exact" w:wrap="none" w:vAnchor="page" w:hAnchor="margin" w:x="71" w:y="9226"/>
        <w:rPr>
          <w:rStyle w:val="C11"/>
          <w:rtl w:val="0"/>
        </w:rPr>
      </w:pPr>
      <w:r>
        <w:rPr>
          <w:rStyle w:val="C11"/>
          <w:rtl w:val="0"/>
        </w:rPr>
        <w:t>i) Charakterizovat, za jakých podmínek je možné žadateli vydat předměty nalezené při exhumaci, u nichž se předpokládá, že jsou zhotoveny z drahých kovů, nebo předměty, které mají kulturně-historickou hodnotu. Jak nakládat s exhumovanými ozdobami snímatelnými (prstýnky, náušnice, řetízky apod.) a jak nakládat se snímatelnou zubní náhradou, byla-li nalezena mimo čelist</w:t>
      </w:r>
    </w:p>
    <w:p>
      <w:pPr>
        <w:pStyle w:val="P28"/>
        <w:framePr w:w="3921" w:h="1280" w:hRule="exact" w:wrap="none" w:vAnchor="page" w:hAnchor="margin" w:x="6800" w:y="9170"/>
        <w:rPr>
          <w:rStyle w:val="C3"/>
          <w:rtl w:val="0"/>
        </w:rPr>
      </w:pPr>
    </w:p>
    <w:p>
      <w:pPr>
        <w:pStyle w:val="P29"/>
        <w:framePr w:w="3839" w:h="1153" w:hRule="exact" w:wrap="none" w:vAnchor="page" w:hAnchor="margin" w:x="6856" w:y="9226"/>
        <w:rPr>
          <w:rStyle w:val="C21"/>
          <w:rtl w:val="0"/>
        </w:rPr>
      </w:pPr>
      <w:r>
        <w:rPr>
          <w:rStyle w:val="C21"/>
          <w:rtl w:val="0"/>
        </w:rPr>
        <w:t>Ústní ověření</w:t>
      </w:r>
    </w:p>
    <w:p>
      <w:pPr>
        <w:pStyle w:val="P32"/>
        <w:framePr w:w="10710" w:h="248" w:hRule="exact" w:wrap="none" w:vAnchor="page" w:hAnchor="margin" w:x="28" w:y="10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20.6.2026 19:49:52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http://katalog.nsp.cz/karta_p.aspx?id_jp=31006&amp;kod_sm1=20). Lékařská prohlídka způsobilosti pro výkon zaměstnání s ohledem na bezpečnostní riziko zvedání břemen a zátěž teplem.</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nebude uchazeč oblečen do vhodného pracovního oděvu a obuvi a nebude mít ochranné pomůcky a vhodné nástroje, zkouška se nesmí zahájit.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realizovaná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prověří, zda se v blízkosti budoucího hrobu nenachází vzrostlý strom, jehož kořeny a stabilita by mohly být výkopem narušeny.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hygienických předpisů, předpisů bezpečnosti práce, zásad ochrany životního prostředí, ale i to, zda uchazeč po celou dobu práce dodržoval zásady piety a slušnosti při práci (potlačil profesionální otrlost).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Hrobník, 20.6.2026 19:49:52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současně musí splňovat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praxe ve funkci vedoucího správce pohřebiště, z toho minimálně jeden rok v období posledních dvou let před podáním žádosti o autorizaci.</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704"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formou smlouvy, že může používat veřejné pohřebiště k provádění zkoušek a to na dobu 5 let nebo doloží, že má vybudovaný na vlastním pozemku cvičný hřbitov (včetně řádu pohřebiště).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Je zakázáno vstupovat do vyhloubených výkopů bez zajištění stěn proti sesutí pažením.</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47"/>
        <w:rPr>
          <w:rStyle w:val="C3"/>
          <w:rtl w:val="0"/>
        </w:rPr>
      </w:pPr>
    </w:p>
    <w:p>
      <w:pPr>
        <w:pStyle w:val="P35"/>
        <w:framePr w:w="10710" w:h="340" w:hRule="exact" w:wrap="none" w:vAnchor="page" w:hAnchor="margin" w:x="28" w:y="13047"/>
        <w:rPr>
          <w:rStyle w:val="C25"/>
          <w:rtl w:val="0"/>
        </w:rPr>
      </w:pPr>
      <w:r>
        <w:rPr>
          <w:rStyle w:val="C25"/>
          <w:rtl w:val="0"/>
        </w:rPr>
        <w:t>Doba přípravy na zkoušku</w:t>
      </w:r>
    </w:p>
    <w:p>
      <w:pPr>
        <w:keepNext w:val="0"/>
        <w:keepLines w:val="0"/>
        <w:framePr w:w="10766" w:h="1036" w:hRule="exact" w:wrap="none" w:vAnchor="page" w:hAnchor="margin" w:x="0" w:y="13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50"/>
        <w:rPr>
          <w:rStyle w:val="C3"/>
          <w:rtl w:val="0"/>
        </w:rPr>
      </w:pPr>
    </w:p>
    <w:p>
      <w:pPr>
        <w:pStyle w:val="P35"/>
        <w:framePr w:w="10710" w:h="340" w:hRule="exact" w:wrap="none" w:vAnchor="page" w:hAnchor="margin" w:x="28" w:y="14650"/>
        <w:rPr>
          <w:rStyle w:val="C25"/>
          <w:rtl w:val="0"/>
        </w:rPr>
      </w:pPr>
      <w:r>
        <w:rPr>
          <w:rStyle w:val="C25"/>
          <w:rtl w:val="0"/>
        </w:rPr>
        <w:t>Doba pro vykonání zkoušky</w:t>
      </w:r>
    </w:p>
    <w:p>
      <w:pPr>
        <w:keepNext w:val="0"/>
        <w:keepLines w:val="0"/>
        <w:framePr w:w="10766" w:h="806" w:hRule="exact" w:wrap="none" w:vAnchor="page" w:hAnchor="margin" w:x="0" w:y="14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 20.6.2026 19:49:52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hrobnický</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v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Václav Graf ̶ lektor a soudní znalec pohřebnictví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pStyle w:val="P21"/>
        <w:framePr w:w="7654" w:h="331" w:hRule="exact" w:wrap="none" w:vAnchor="page" w:hAnchor="margin" w:x="28" w:y="15940"/>
        <w:rPr>
          <w:rStyle w:val="C16"/>
          <w:rtl w:val="0"/>
        </w:rPr>
      </w:pPr>
      <w:r>
        <w:rPr>
          <w:rStyle w:val="C16"/>
          <w:rtl w:val="0"/>
        </w:rPr>
        <w:t>Hrobník, 20.6.2026 19:49:52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53D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BA7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