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D4EA07" Type="http://schemas.openxmlformats.org/officeDocument/2006/relationships/officeDocument" Target="/word/document.xml" /><Relationship Id="coreR47D4EA07" Type="http://schemas.openxmlformats.org/package/2006/relationships/metadata/core-properties" Target="/docProps/core.xml" /><Relationship Id="customR47D4EA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ve strojovně (bez napětí)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 šachtě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požadavky: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se provádí na výtahu a výtahovém zařízení, které je zcela odpojeno od přívodu elektrické energie.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