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A16DCD" Type="http://schemas.openxmlformats.org/officeDocument/2006/relationships/officeDocument" Target="/word/document.xml" /><Relationship Id="coreR16A16DCD" Type="http://schemas.openxmlformats.org/package/2006/relationships/metadata/core-properties" Target="/docProps/core.xml" /><Relationship Id="customR16A16D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Pokojská</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11.02.2022 do: 20.10.2022</w:t>
      </w:r>
    </w:p>
    <w:p>
      <w:pPr>
        <w:pStyle w:val="P21"/>
        <w:framePr w:w="7654" w:h="331" w:hRule="exact" w:wrap="none" w:vAnchor="page" w:hAnchor="margin" w:x="28" w:y="15940"/>
        <w:rPr>
          <w:rStyle w:val="C16"/>
          <w:rtl w:val="0"/>
        </w:rPr>
      </w:pPr>
      <w:r>
        <w:rPr>
          <w:rStyle w:val="C16"/>
          <w:rtl w:val="0"/>
        </w:rPr>
        <w:t>Úklidové práce v ubytovacím zařízení – pokojská, 28.9.2026 14:54:36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28.9.2026 14:54:36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28.9.2026 14:54:36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28.9.2026 14:54:36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Úklidové práce v ubytovacím zařízení – pokojská, 28.9.2026 14:54:36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Úklidové práce v ubytovacím zařízení - pokojská + střední vzdělání s maturitní zkouškou v oblasti hotelnictví a alespoň 5 let odborné praxe v hotelovém provozu v pozici pokojská/hotelová hospodyně.</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Úklidové práce v ubytovacím zařízení – pokojská, 28.9.2026 14:54:36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Úklidové práce v ubytovacím zařízení – pokojská, 28.9.2026 14:54:36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Úklidové práce v ubytovacím zařízení – pokojská, 28.9.2026 14:54:36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BBCA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BDC0F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C240F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