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759B89" Type="http://schemas.openxmlformats.org/officeDocument/2006/relationships/officeDocument" Target="/word/document.xml" /><Relationship Id="coreR72759B89" Type="http://schemas.openxmlformats.org/package/2006/relationships/metadata/core-properties" Target="/docProps/core.xml" /><Relationship Id="customR72759B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11.02.2022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se sleduje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bchodní nabídka služeb představuje konkrétní nabídku podle požadavků a přání zákazníka, tzn. typ pokoje, konfiguraci lůžek, čas příjezdu, příp. snídaní atd. Nabídka služeb může být značně variabilní, ale základ by se měl odvíjet vždy od nabídky ubytování a dohodnutí času příjezdu.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ákladní informační služby představují informace o dění v ubytovacím zařízení a v jeho okolí. 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- 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ákladní jednoduchý marketingový plán představuje základní kroky v oblasti marketingu a strategie ubytovacího zařízení.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možnostech podnikání ve službách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- 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ákladní právní normy vyžadované jako nezbytné pro provozovatele ubytování v soukromí, jejichž znalost uchazeč prokazuje u zkoušky jsou: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455/1991 Sb., živnostenský zákon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278/2008 Sb., o obsahových náplních jednotlivých živností ( živnost volná - č. 55 Ubytovací služby; živnost řemeslná - Hostinská činnost)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501/2006 Sb., o obecných požadavcích na využití území (§ 2)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268/2009 Sb., o technických požadavcích na stavby (§ 3, § 39, § 40,§ 44)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9415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