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FCFB3E" Type="http://schemas.openxmlformats.org/officeDocument/2006/relationships/officeDocument" Target="/word/document.xml" /><Relationship Id="coreR5AFCFB3E" Type="http://schemas.openxmlformats.org/package/2006/relationships/metadata/core-properties" Target="/docProps/core.xml" /><Relationship Id="customR5AFCFB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25.02.2013 do: 08.09.2015</w:t>
      </w:r>
    </w:p>
    <w:p>
      <w:pPr>
        <w:pStyle w:val="P21"/>
        <w:framePr w:w="7654" w:h="331" w:hRule="exact" w:wrap="none" w:vAnchor="page" w:hAnchor="margin" w:x="28" w:y="15940"/>
        <w:rPr>
          <w:rStyle w:val="C16"/>
          <w:rtl w:val="0"/>
        </w:rPr>
      </w:pPr>
      <w:r>
        <w:rPr>
          <w:rStyle w:val="C16"/>
          <w:rtl w:val="0"/>
        </w:rPr>
        <w:t>Výroba rybích lahůdek, 17.8.2026 22:30:11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1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2 až 3 konkrétních lahůdkářských rybích výrobků.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rybích lahůdek, 17.8.2026 22:30:11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rybích lahůdek, 17.8.2026 22:30:11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