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D67C77" Type="http://schemas.openxmlformats.org/officeDocument/2006/relationships/officeDocument" Target="/word/document.xml" /><Relationship Id="coreR12D67C77" Type="http://schemas.openxmlformats.org/package/2006/relationships/metadata/core-properties" Target="/docProps/core.xml" /><Relationship Id="customR12D67C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aspiků,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a prodeji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24.10.2008 do: 15.04.2013</w:t>
      </w:r>
    </w:p>
    <w:p>
      <w:pPr>
        <w:pStyle w:val="P21"/>
        <w:framePr w:w="7654" w:h="331" w:hRule="exact" w:wrap="none" w:vAnchor="page" w:hAnchor="margin" w:x="28" w:y="15940"/>
        <w:rPr>
          <w:rStyle w:val="C16"/>
          <w:rtl w:val="0"/>
        </w:rPr>
      </w:pPr>
      <w:r>
        <w:rPr>
          <w:rStyle w:val="C16"/>
          <w:rtl w:val="0"/>
        </w:rPr>
        <w:t>Výroba majonéz a omáček, 7.7.2026 15:05:55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výrobku, tj. majonézy a omáčky.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majonéz a omáček, 7.7.2026 15:05:55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5"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majonéz a omáček, 7.7.2026 15:05:55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