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2DCA47" Type="http://schemas.openxmlformats.org/officeDocument/2006/relationships/officeDocument" Target="/word/document.xml" /><Relationship Id="coreR132DCA47" Type="http://schemas.openxmlformats.org/package/2006/relationships/metadata/core-properties" Target="/docProps/core.xml" /><Relationship Id="customR132DCA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majonéz a omáček, 20.8.2026 21:04:24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4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Pracovník/pracovnice výroby majonéz a omáček, 20.8.2026 21:04:24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AGRICOL s. r. o. </w:t>
      </w:r>
    </w:p>
    <w:p>
      <w:pPr>
        <w:pStyle w:val="P21"/>
        <w:framePr w:w="7654" w:h="331" w:hRule="exact" w:wrap="none" w:vAnchor="page" w:hAnchor="margin" w:x="28" w:y="15940"/>
        <w:rPr>
          <w:rStyle w:val="C16"/>
          <w:rtl w:val="0"/>
        </w:rPr>
      </w:pPr>
      <w:r>
        <w:rPr>
          <w:rStyle w:val="C16"/>
          <w:rtl w:val="0"/>
        </w:rPr>
        <w:t>Pracovník/pracovnice výroby majonéz a omáček, 20.8.2026 21:04:24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