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BCC44" Type="http://schemas.openxmlformats.org/officeDocument/2006/relationships/officeDocument" Target="/word/document.xml" /><Relationship Id="coreRA2BCC44" Type="http://schemas.openxmlformats.org/package/2006/relationships/metadata/core-properties" Target="/docProps/core.xml" /><Relationship Id="customRA2BCC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a frézař kamene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14:39:35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http://katalog.nsp.cz/karta_tp.aspx?id_jp=100867&amp;kod_sm1=41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 U kompetence Orientace v technologických postupech frézování, broušení, leštění a řezání kamene, u kritéria b), autorizovaná osoba připraví modelovou situaci z výrobního procesu.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•ekonomické hledisko při zpracování kamene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14:39:35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14:39:35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