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585CE3" Type="http://schemas.openxmlformats.org/officeDocument/2006/relationships/officeDocument" Target="/word/document.xml" /><Relationship Id="coreR29585CE3" Type="http://schemas.openxmlformats.org/package/2006/relationships/metadata/core-properties" Target="/docProps/core.xml" /><Relationship Id="customR29585C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a frézař kamene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a technické dokumentaci při frézování, broušení, leštění a řezání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frézování, broušení, leštění a řezání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při frézování, broušení, leštění, řezání kamene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frézování, broušení, leštění a řezání kamene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frézování, broušení, leštění, řezání přírodního kamene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Strojní  frézování, broušení, leštění, řezání přírodního kamene - ploch masivních kvádrů, úzkých hran a malých kusů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Frézování, broušení, leštění na poloautomatických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Řezání kamenických výrobků kotoučovými pilami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a strojní manipulace se surovinami, polotovary a hotovými výrobky při opracování a uskladnění kamene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30.9.2026 5:49:12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http://katalog.nsp.cz/karta_tp.aspx?id_jp=100867&amp;kod_sm1=41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na určitém úseku kamenické výroby. U kompetence Orientace v technologických postupech frézování, broušení, leštění a řezání kamene, u kritéria b), autorizovaná osoba připraví modelovou situaci z výrobního procesu.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je kladen důraz: 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•ekonomické hledisko při zpracování kamene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30.9.2026 5:49:12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Akademie, Vyšší odborná škola, gymnázium a Střední škola uměleckoprůmyslová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 nad Sázavou - Lipnice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30.9.2026 5:49:12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