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E35B3A" Type="http://schemas.openxmlformats.org/officeDocument/2006/relationships/officeDocument" Target="/word/document.xml" /><Relationship Id="coreRCE35B3A" Type="http://schemas.openxmlformats.org/package/2006/relationships/metadata/core-properties" Target="/docProps/core.xml" /><Relationship Id="customRCE35B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a frézař kamene (kód: 36-007-H)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Kameník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Znalost hornin, jejich vlastností a použití v kamenické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výkresové a technické dokumentaci kamenické výroby, čtení výrobních výkresů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pro vertikální a horizontální řezání kamene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normách broušení a leštění kamene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technologických postupech broušení a leštění kamene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Návrh pracovních postupů vertikálního a horizontálního řezání kamene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Návrh pracovních postupů broušení a leštění kamene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Broušení a leštění přírodního kamene ručně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Broušení a leštění přírodního kamene - ploch masivních kvádrů, úzkých hran a malých kusů strojně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Broušení a leštění na brousicím ramenu a poloautomatických strojích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Řezání kamenických výrobků kotoučovými pilami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pomůcek, strojních zařízení a manipulační techniky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Ruční a strojní manipulace se surovinami, polotovary a hotovými výrobky při opracování a uskladnění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29.01.2009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kamene, 20.10.2026 10:59:11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a současně svým podpisem potvrdí, že je zdravotně způsobilý k výkonu zkoušky.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způsobilostí.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postup, na jehož konci je výsledek – hotové dílo).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kamene, 20.10.2026 10:59:11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kameníků a kamenosochařů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kamene, 20.10.2026 10:59:11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