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2047BF" Type="http://schemas.openxmlformats.org/officeDocument/2006/relationships/officeDocument" Target="/word/document.xml" /><Relationship Id="coreR7D2047BF" Type="http://schemas.openxmlformats.org/package/2006/relationships/metadata/core-properties" Target="/docProps/core.xml" /><Relationship Id="customR7D2047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a 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BOZP při práci s kamenem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Brusič a frézař kamene, 11.7.2026 3:47:16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jednotlivé typy brusiva podle stanoveného druhu opracování povrchu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Používat normy pro frézování, broušení, leštění a řezání kamene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 min.2 platných norem</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Popsat tolerance výrobků podle jednotlivých typů opracování</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547" w:hRule="exact" w:wrap="none" w:vAnchor="page" w:hAnchor="margin" w:x="28" w:y="11575"/>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kamene, 11.7.2026 3:47:16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a 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12"/>
        <w:framePr w:w="6710" w:h="376" w:hRule="exact" w:wrap="none" w:vAnchor="page" w:hAnchor="margin" w:x="45" w:y="13164"/>
        <w:rPr>
          <w:rStyle w:val="C3"/>
          <w:rtl w:val="0"/>
        </w:rPr>
      </w:pPr>
    </w:p>
    <w:p>
      <w:pPr>
        <w:pStyle w:val="P13"/>
        <w:framePr w:w="6658" w:h="249" w:hRule="exact" w:wrap="none" w:vAnchor="page" w:hAnchor="margin" w:x="71" w:y="13220"/>
        <w:rPr>
          <w:rStyle w:val="C11"/>
          <w:rtl w:val="0"/>
        </w:rPr>
      </w:pPr>
      <w:r>
        <w:rPr>
          <w:rStyle w:val="C11"/>
          <w:rtl w:val="0"/>
        </w:rPr>
        <w:t>g) Popsat metodický postup při práci s programem automatického stroje</w:t>
      </w:r>
    </w:p>
    <w:p>
      <w:pPr>
        <w:pStyle w:val="P28"/>
        <w:framePr w:w="3921" w:h="376" w:hRule="exact" w:wrap="none" w:vAnchor="page" w:hAnchor="margin" w:x="6800" w:y="13164"/>
        <w:rPr>
          <w:rStyle w:val="C3"/>
          <w:rtl w:val="0"/>
        </w:rPr>
      </w:pPr>
    </w:p>
    <w:p>
      <w:pPr>
        <w:pStyle w:val="P29"/>
        <w:framePr w:w="3839" w:h="249" w:hRule="exact" w:wrap="none" w:vAnchor="page" w:hAnchor="margin" w:x="6856" w:y="13220"/>
        <w:rPr>
          <w:rStyle w:val="C21"/>
          <w:rtl w:val="0"/>
        </w:rPr>
      </w:pPr>
      <w:r>
        <w:rPr>
          <w:rStyle w:val="C21"/>
          <w:rtl w:val="0"/>
        </w:rPr>
        <w:t>Ústní ověření</w:t>
      </w:r>
    </w:p>
    <w:p>
      <w:pPr>
        <w:pStyle w:val="P16"/>
        <w:framePr w:w="6710" w:h="376" w:hRule="exact" w:wrap="none" w:vAnchor="page" w:hAnchor="margin" w:x="45" w:y="13540"/>
        <w:rPr>
          <w:rStyle w:val="C3"/>
          <w:rtl w:val="0"/>
        </w:rPr>
      </w:pPr>
    </w:p>
    <w:p>
      <w:pPr>
        <w:pStyle w:val="P17"/>
        <w:framePr w:w="6658" w:h="249" w:hRule="exact" w:wrap="none" w:vAnchor="page" w:hAnchor="margin" w:x="71" w:y="13596"/>
        <w:rPr>
          <w:rStyle w:val="C13"/>
          <w:rtl w:val="0"/>
        </w:rPr>
      </w:pPr>
      <w:r>
        <w:rPr>
          <w:rStyle w:val="C13"/>
          <w:rtl w:val="0"/>
        </w:rPr>
        <w:t>h) Naprogramovat a spustit zadaný pracovní cyklus na automatickém stroji</w:t>
      </w:r>
    </w:p>
    <w:p>
      <w:pPr>
        <w:pStyle w:val="P30"/>
        <w:framePr w:w="3921" w:h="376" w:hRule="exact" w:wrap="none" w:vAnchor="page" w:hAnchor="margin" w:x="6800" w:y="13540"/>
        <w:rPr>
          <w:rStyle w:val="C3"/>
          <w:rtl w:val="0"/>
        </w:rPr>
      </w:pPr>
    </w:p>
    <w:p>
      <w:pPr>
        <w:pStyle w:val="P31"/>
        <w:framePr w:w="3839" w:h="249" w:hRule="exact" w:wrap="none" w:vAnchor="page" w:hAnchor="margin" w:x="6856" w:y="13596"/>
        <w:rPr>
          <w:rStyle w:val="C22"/>
          <w:rtl w:val="0"/>
        </w:rPr>
      </w:pPr>
      <w:r>
        <w:rPr>
          <w:rStyle w:val="C22"/>
          <w:rtl w:val="0"/>
        </w:rPr>
        <w:t>Praktické předvedení</w:t>
      </w:r>
    </w:p>
    <w:p>
      <w:pPr>
        <w:pStyle w:val="P32"/>
        <w:framePr w:w="10710" w:h="248" w:hRule="exact" w:wrap="none" w:vAnchor="page" w:hAnchor="margin" w:x="28" w:y="140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11.7.2026 3:47:16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3"/>
        <w:framePr w:w="10710" w:h="340" w:hRule="exact" w:wrap="none" w:vAnchor="page" w:hAnchor="margin" w:x="28" w:y="9775"/>
        <w:rPr>
          <w:rStyle w:val="C18"/>
          <w:rtl w:val="0"/>
        </w:rPr>
      </w:pPr>
      <w:r>
        <w:rPr>
          <w:rStyle w:val="C18"/>
          <w:rtl w:val="0"/>
        </w:rPr>
        <w:t>Dodržování zásad BOZP při práci s kamenem</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Ústní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c) Vysvětlit zásady a důvody používání osobních ochranných pracovních prostředků při práci s kamenem a při obsluze strojních zařízení na opracování kamene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Ústní ověření</w:t>
      </w:r>
    </w:p>
    <w:p>
      <w:pPr>
        <w:pStyle w:val="P16"/>
        <w:framePr w:w="6710" w:h="607" w:hRule="exact" w:wrap="none" w:vAnchor="page" w:hAnchor="margin" w:x="45" w:y="12636"/>
        <w:rPr>
          <w:rStyle w:val="C3"/>
          <w:rtl w:val="0"/>
        </w:rPr>
      </w:pPr>
    </w:p>
    <w:p>
      <w:pPr>
        <w:pStyle w:val="P17"/>
        <w:framePr w:w="6658" w:h="480" w:hRule="exact" w:wrap="none" w:vAnchor="page" w:hAnchor="margin" w:x="71" w:y="12692"/>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2636"/>
        <w:rPr>
          <w:rStyle w:val="C3"/>
          <w:rtl w:val="0"/>
        </w:rPr>
      </w:pPr>
    </w:p>
    <w:p>
      <w:pPr>
        <w:pStyle w:val="P31"/>
        <w:framePr w:w="3839" w:h="480" w:hRule="exact" w:wrap="none" w:vAnchor="page" w:hAnchor="margin" w:x="6856" w:y="12692"/>
        <w:rPr>
          <w:rStyle w:val="C22"/>
          <w:rtl w:val="0"/>
        </w:rPr>
      </w:pPr>
      <w:r>
        <w:rPr>
          <w:rStyle w:val="C22"/>
          <w:rtl w:val="0"/>
        </w:rPr>
        <w:t>Praktické předvedení a ústní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11.7.2026 3:47:16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prostředí. Zdůvodnění předčasného ukončení zkoušky uvede AOs do Záznamu o průběhu a výsledku zkoušky. Uchazeč může ukončit zkoušku kdykoliv v jejím průběhu, a to na vlastní žádost.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03/93 Dlažební kostky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04/95 Kovové kotvy pro konstrukce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05/95 Bloky a polotovary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06/96 Obrubníky a krajníky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08/98 Schodišťové stupně, podlažní obruby a prahy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15164 Stroje a provozy pro dobývání a zpracování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frézování, broušení, leštění a řezání kamene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autorizovaná osoba připraví jednu modelovou situaci z výrobního procesu; pro ověření znalostí a dovedností u kritéria a) a b) autorizovaná osoba připraví normy a technickou dokumentaci 3 různých typů technického zadání.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manipulačního dělníka.</w:t>
      </w:r>
    </w:p>
    <w:p>
      <w:pPr>
        <w:pStyle w:val="P21"/>
        <w:framePr w:w="7654" w:h="331" w:hRule="exact" w:wrap="none" w:vAnchor="page" w:hAnchor="margin" w:x="28" w:y="15940"/>
        <w:rPr>
          <w:rStyle w:val="C16"/>
          <w:rtl w:val="0"/>
        </w:rPr>
      </w:pPr>
      <w:r>
        <w:rPr>
          <w:rStyle w:val="C16"/>
          <w:rtl w:val="0"/>
        </w:rPr>
        <w:t>Brusič a frézař kamene, 11.7.2026 3:47:16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pozemní stavby nebo dobývání surovin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36-007-H Brusič a frézař kamene a střední vzdělání s maturitní zkouškou a alespoň 5 let odborné praxe v oblasti kamenické výroby.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6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kamene, 11.7.2026 3:47:16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a technická dokumentace pro kamenickou výrobu (v minimálním množství 3 kusy od každého druhu v tištěné podobě)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brýle, rukavice, gumovou zástěru, nárukávníky, chrániče sluchu)</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kamene, 11.7.2026 3:47:16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Brusič a frézař kamene, 11.7.2026 3:47:16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C439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2508C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04FCD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08C4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