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D7F41" Type="http://schemas.openxmlformats.org/officeDocument/2006/relationships/officeDocument" Target="/word/document.xml" /><Relationship Id="coreR334D7F41" Type="http://schemas.openxmlformats.org/package/2006/relationships/metadata/core-properties" Target="/docProps/core.xml" /><Relationship Id="customR334D7F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Pečení, vaření a smažení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ze základních druhů těst a hmot, tzn. linecké, jádrové, listové, pálená hmota a další (minimálně 2 druhy zákusků nebo dortů z různých druhů těst), množství (počet) výrobků určí zkoušející.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