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D7AE0" Type="http://schemas.openxmlformats.org/officeDocument/2006/relationships/officeDocument" Target="/word/document.xml" /><Relationship Id="coreR6EDD7AE0" Type="http://schemas.openxmlformats.org/package/2006/relationships/metadata/core-properties" Target="/docProps/core.xml" /><Relationship Id="customR6EDD7A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používání pracovních pomůcek při montáži a demontáži nábytku a interiérových prvků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technických podkladech pro montáž a demontáž nábytku a interiérových prvků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montáž a demontáž nábytku a interiérových prvků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Manipulace s nábytkem a ostatními doplňkovými výrobky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dřevěných, plastových aj. materiálů vrtáním otvorů a začištění elektrickými a ručními nástroji a nářadím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Rozměrové vrtání a montáž kotevní techniky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Montáž a demontáž nábytku a interiérových prvků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a sestavování dalších prvků interiérového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Instalace elektrických zařízení do interiérových prvků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Zabezpečení připojení spotřebičů na rozvody vody a kanalizace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oprávněním pro možnost vykonávat samostatnou činnost na elektrických zařízeních podle vyhlášky č. 50/1978 Sb.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montáži zadaného úkolu s využitím běžně používaných technologických postupů, a s tím, že ověřování některými kritérii by probíhalo i mimo tento propojený rámec činností.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řezáním, hoblováním, tvarováním, dlabáním, vrtáním, broušením atd. ručními nástroji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ručních dřevoobráběcích strojů a nástrojů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21.8.2026 0:59:25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