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2BE2D" Type="http://schemas.openxmlformats.org/officeDocument/2006/relationships/officeDocument" Target="/word/document.xml" /><Relationship Id="coreR5192BE2D" Type="http://schemas.openxmlformats.org/package/2006/relationships/metadata/core-properties" Target="/docProps/core.xml" /><Relationship Id="customR5192BE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používání pracovních pomůcek při montáži a demontáži nábytku a interiérových prvků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montáž a demontáž nábytku a interiérových prvků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montáž a demontáž nábytku a interiérových prvků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Manipulace s nábytkem a ostatními doplňkovými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dřevěných, plastových aj. materiálů vrtáním otvorů a začištění elektrickými a ručními nástroji a nářadím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Rozměrové vrtání a montáž kotevní techniky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Montáž a demontáž nábytku a interiérových prvků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a sestavování dalších prvků interiérového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Instalace elektrických zařízení do interiérových prvků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Zabezpečení připojení spotřebičů na rozvody vody a kanalizace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oprávněním pro možnost vykonávat samostatnou činnost na elektrických zařízeních podle vyhlášky č. 50/1978 Sb.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montáži zadaného úkolu s využitím běžně používaných technologických postupů, a s tím, že ověřování některými kritérii by probíhalo i mimo tento propojený rámec činností.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řezáním, hoblováním, tvarováním, dlabáním, vrtáním, broušením atd. ručními nástroji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ručních dřevoobráběcích strojů a nástrojů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