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1EC7B" Type="http://schemas.openxmlformats.org/officeDocument/2006/relationships/officeDocument" Target="/word/document.xml" /><Relationship Id="coreR4861EC7B" Type="http://schemas.openxmlformats.org/package/2006/relationships/metadata/core-properties" Target="/docProps/core.xml" /><Relationship Id="customR4861EC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5:48:49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precizní ověření všech odborných kompetencí.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zhotoví: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pro slavnostní instalaci s řasenou textilií s použitím státní vlajky, státních symbolů a vlajky EU a prakticky vytvoří plastický vzorek s řasenou textilií, rozměr vzorku 0,5 m x 0,5 m 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skládanou roletu s palmetou a instaluje ji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52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přípravu povrchu stěny pod tapetování - roh místnosti (druh stěny dle výběru zkoušejícího) o rozměru š 0,5 m + 0,5 m , v 1,3 m; tapetování tapetou vhodnou do obytného prostoru včetně zvolení vhodného koberce, jeho pokládky a zalištování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provádění všech kompetencí a kvalitě zhotoveného výrobku a ke znalosti dekoratérských materiálů a ke znalosti údržby dekoratérských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5:48:49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5:48:49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E20928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