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E658D" Type="http://schemas.openxmlformats.org/officeDocument/2006/relationships/officeDocument" Target="/word/document.xml" /><Relationship Id="coreR6B2E658D" Type="http://schemas.openxmlformats.org/package/2006/relationships/metadata/core-properties" Target="/docProps/core.xml" /><Relationship Id="customR6B2E6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staveb, používání technické dokumentace konstrukcí suchých staveb, čtení prováděcích výkresů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1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532"/>
        <w:rPr>
          <w:rStyle w:val="C15"/>
          <w:rtl w:val="0"/>
        </w:rPr>
      </w:pPr>
      <w:r>
        <w:rPr>
          <w:rStyle w:val="C15"/>
          <w:rtl w:val="0"/>
        </w:rPr>
        <w:t>Standard je platný od: 29.01.2009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Sádrokartonové desky. Definice, požadavky,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14195 Kovové konstrukční profily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výrobců materiálů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sádrokartonářů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9.9.2026 21:09:25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