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378D9" Type="http://schemas.openxmlformats.org/officeDocument/2006/relationships/officeDocument" Target="/word/document.xml" /><Relationship Id="coreR60378D9" Type="http://schemas.openxmlformats.org/package/2006/relationships/metadata/core-properties" Target="/docProps/core.xml" /><Relationship Id="customR6037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zdůvodnění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zdůvodnění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zdůvodnění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zdůvodnění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zdůvodnění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zdůvodnění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zdůvodněním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zdůvodněním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zdůvodněním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zdůvodněním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zdůvodněním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zdůvodněním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zdůvodnění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zdůvodnění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zdůvodnění</w:t>
      </w:r>
    </w:p>
    <w:p>
      <w:pPr>
        <w:pStyle w:val="P16"/>
        <w:framePr w:w="6710" w:h="831" w:hRule="exact" w:wrap="none" w:vAnchor="page" w:hAnchor="margin" w:x="45" w:y="13739"/>
        <w:rPr>
          <w:rStyle w:val="C3"/>
          <w:rtl w:val="0"/>
        </w:rPr>
      </w:pPr>
    </w:p>
    <w:p>
      <w:pPr>
        <w:pStyle w:val="P17"/>
        <w:framePr w:w="6658" w:h="704"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w:t>
      </w:r>
    </w:p>
    <w:p>
      <w:pPr>
        <w:pStyle w:val="P30"/>
        <w:framePr w:w="3921" w:h="831" w:hRule="exact" w:wrap="none" w:vAnchor="page" w:hAnchor="margin" w:x="6800" w:y="13739"/>
        <w:rPr>
          <w:rStyle w:val="C3"/>
          <w:rtl w:val="0"/>
        </w:rPr>
      </w:pPr>
    </w:p>
    <w:p>
      <w:pPr>
        <w:pStyle w:val="P31"/>
        <w:framePr w:w="3839" w:h="704" w:hRule="exact" w:wrap="none" w:vAnchor="page" w:hAnchor="margin" w:x="6856" w:y="13795"/>
        <w:rPr>
          <w:rStyle w:val="C22"/>
          <w:rtl w:val="0"/>
        </w:rPr>
      </w:pPr>
      <w:r>
        <w:rPr>
          <w:rStyle w:val="C22"/>
          <w:rtl w:val="0"/>
        </w:rPr>
        <w:t>Praktické předvedení a ústní zdůvodnění</w:t>
      </w:r>
    </w:p>
    <w:p>
      <w:pPr>
        <w:pStyle w:val="P32"/>
        <w:framePr w:w="10710" w:h="248" w:hRule="exact" w:wrap="none" w:vAnchor="page" w:hAnchor="margin" w:x="28" w:y="14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lisování desek, stroje pro lepení gázu, stroje pro lepení kapitálku a přelepovacího papíru, stroje pro lepení předsádek, stroje pro zavěšení knižního kompletu do tuhých desek a lisování hotového produktu v souladu s výběrem vhodné kombinace materiálů, rozsahem a formátem knižní vazby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postupu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zdůvodnění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hřbetních znamének podle zadání: provést postup kontroly u chybně sneseného knižního bloku porovnáním pořadí hřbetních znamének správně sneseného knižního bloku v souladu s požadavky normativů knihařského zpracování na snášení knižního bloku</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zdůvodnění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(hot melt, PUR), podle zadání: provést kontrolu odstranění hřbetních lomů a naneseného lepidla na hřbet a boky knižního bloku a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zdůvodnění</w:t>
      </w:r>
    </w:p>
    <w:p>
      <w:pPr>
        <w:pStyle w:val="P32"/>
        <w:framePr w:w="10710" w:h="248" w:hRule="exact" w:wrap="none" w:vAnchor="page" w:hAnchor="margin" w:x="28" w:y="10222"/>
        <w:rPr>
          <w:rStyle w:val="C23"/>
          <w:rtl w:val="0"/>
        </w:rPr>
      </w:pPr>
      <w:r>
        <w:rPr>
          <w:rStyle w:val="C23"/>
          <w:rtl w:val="0"/>
        </w:rPr>
        <w:t>Je třeba splnit obě kritéria.</w:t>
      </w:r>
    </w:p>
    <w:p>
      <w:pPr>
        <w:pStyle w:val="P23"/>
        <w:framePr w:w="10710" w:h="340" w:hRule="exact" w:wrap="none" w:vAnchor="page" w:hAnchor="margin" w:x="28" w:y="10657"/>
        <w:rPr>
          <w:rStyle w:val="C18"/>
          <w:rtl w:val="0"/>
        </w:rPr>
      </w:pPr>
      <w:r>
        <w:rPr>
          <w:rStyle w:val="C18"/>
          <w:rtl w:val="0"/>
        </w:rPr>
        <w:t>Obsluha strojů v knihařské výrobě</w:t>
      </w:r>
    </w:p>
    <w:p>
      <w:pPr>
        <w:pStyle w:val="P24"/>
        <w:framePr w:w="6713" w:h="376" w:hRule="exact" w:wrap="none" w:vAnchor="page" w:hAnchor="margin" w:x="45" w:y="11096"/>
        <w:rPr>
          <w:rStyle w:val="C3"/>
          <w:rtl w:val="0"/>
        </w:rPr>
      </w:pPr>
    </w:p>
    <w:p>
      <w:pPr>
        <w:pStyle w:val="P25"/>
        <w:framePr w:w="6661" w:h="249" w:hRule="exact" w:wrap="none" w:vAnchor="page" w:hAnchor="margin" w:x="71" w:y="11167"/>
        <w:rPr>
          <w:rStyle w:val="C19"/>
          <w:rtl w:val="0"/>
        </w:rPr>
      </w:pPr>
      <w:r>
        <w:rPr>
          <w:rStyle w:val="C19"/>
          <w:rtl w:val="0"/>
        </w:rPr>
        <w:t>Kritéria hodnocení</w:t>
      </w:r>
    </w:p>
    <w:p>
      <w:pPr>
        <w:pStyle w:val="P26"/>
        <w:framePr w:w="3918" w:h="376" w:hRule="exact" w:wrap="none" w:vAnchor="page" w:hAnchor="margin" w:x="6803" w:y="11096"/>
        <w:rPr>
          <w:rStyle w:val="C3"/>
          <w:rtl w:val="0"/>
        </w:rPr>
      </w:pPr>
    </w:p>
    <w:p>
      <w:pPr>
        <w:pStyle w:val="P27"/>
        <w:framePr w:w="3836" w:h="249" w:hRule="exact" w:wrap="none" w:vAnchor="page" w:hAnchor="margin" w:x="6859" w:y="11167"/>
        <w:rPr>
          <w:rStyle w:val="C20"/>
          <w:rtl w:val="0"/>
        </w:rPr>
      </w:pPr>
      <w:r>
        <w:rPr>
          <w:rStyle w:val="C20"/>
          <w:rtl w:val="0"/>
        </w:rPr>
        <w:t>Způsoby ověření</w:t>
      </w:r>
    </w:p>
    <w:p>
      <w:pPr>
        <w:pStyle w:val="P12"/>
        <w:framePr w:w="6710" w:h="1055" w:hRule="exact" w:wrap="none" w:vAnchor="page" w:hAnchor="margin" w:x="45" w:y="11473"/>
        <w:rPr>
          <w:rStyle w:val="C3"/>
          <w:rtl w:val="0"/>
        </w:rPr>
      </w:pPr>
    </w:p>
    <w:p>
      <w:pPr>
        <w:pStyle w:val="P13"/>
        <w:framePr w:w="6658" w:h="928" w:hRule="exact" w:wrap="none" w:vAnchor="page" w:hAnchor="margin" w:x="71" w:y="11529"/>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473"/>
        <w:rPr>
          <w:rStyle w:val="C3"/>
          <w:rtl w:val="0"/>
        </w:rPr>
      </w:pPr>
    </w:p>
    <w:p>
      <w:pPr>
        <w:pStyle w:val="P29"/>
        <w:framePr w:w="3839" w:h="928" w:hRule="exact" w:wrap="none" w:vAnchor="page" w:hAnchor="margin" w:x="6856" w:y="11529"/>
        <w:rPr>
          <w:rStyle w:val="C21"/>
          <w:rtl w:val="0"/>
        </w:rPr>
      </w:pPr>
      <w:r>
        <w:rPr>
          <w:rStyle w:val="C21"/>
          <w:rtl w:val="0"/>
        </w:rPr>
        <w:t>Praktické předvedení a ústní zdůvodnění</w:t>
      </w:r>
    </w:p>
    <w:p>
      <w:pPr>
        <w:pStyle w:val="P32"/>
        <w:framePr w:w="10710" w:h="248" w:hRule="exact" w:wrap="none" w:vAnchor="page" w:hAnchor="margin" w:x="28" w:y="1264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Zkontrolovat poškození vloženého knižního kompletu do tuhých desek podle zadání: provést kontrolu tuhé knižní vazby s požadavky na správnost technologického postupu při nanesení lepidla na přední a zadní předsádky nebo chybné spojení knižního kompletu s tuhými deskami v souladu s požadavky normativů knihařského zpracování na tuhou vazbu V8</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zdůvodnění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Odstranit chybné spojení knižního kompletu do tuhých desek podle zadání: navrhnout postup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Prakticky a slovně nad příslušným knihařským strojem</w:t>
      </w:r>
    </w:p>
    <w:p>
      <w:pPr>
        <w:pStyle w:val="P32"/>
        <w:framePr w:w="10710" w:h="248" w:hRule="exact" w:wrap="none" w:vAnchor="page" w:hAnchor="margin" w:x="28" w:y="5866"/>
        <w:rPr>
          <w:rStyle w:val="C23"/>
          <w:rtl w:val="0"/>
        </w:rPr>
      </w:pPr>
      <w:r>
        <w:rPr>
          <w:rStyle w:val="C23"/>
          <w:rtl w:val="0"/>
        </w:rPr>
        <w:t>Je třeba splnit obě kritéria.</w:t>
      </w:r>
    </w:p>
    <w:p>
      <w:pPr>
        <w:pStyle w:val="P23"/>
        <w:framePr w:w="10710" w:h="340" w:hRule="exact" w:wrap="none" w:vAnchor="page" w:hAnchor="margin" w:x="28" w:y="6302"/>
        <w:rPr>
          <w:rStyle w:val="C18"/>
          <w:rtl w:val="0"/>
        </w:rPr>
      </w:pPr>
      <w:r>
        <w:rPr>
          <w:rStyle w:val="C18"/>
          <w:rtl w:val="0"/>
        </w:rPr>
        <w:t>Výpočet spotřeby materiálu, kalkulace ceny výrobku</w:t>
      </w:r>
    </w:p>
    <w:p>
      <w:pPr>
        <w:pStyle w:val="P24"/>
        <w:framePr w:w="6713" w:h="376" w:hRule="exact" w:wrap="none" w:vAnchor="page" w:hAnchor="margin" w:x="45" w:y="6741"/>
        <w:rPr>
          <w:rStyle w:val="C3"/>
          <w:rtl w:val="0"/>
        </w:rPr>
      </w:pPr>
    </w:p>
    <w:p>
      <w:pPr>
        <w:pStyle w:val="P25"/>
        <w:framePr w:w="6661" w:h="249" w:hRule="exact" w:wrap="none" w:vAnchor="page" w:hAnchor="margin" w:x="71" w:y="6812"/>
        <w:rPr>
          <w:rStyle w:val="C19"/>
          <w:rtl w:val="0"/>
        </w:rPr>
      </w:pPr>
      <w:r>
        <w:rPr>
          <w:rStyle w:val="C19"/>
          <w:rtl w:val="0"/>
        </w:rPr>
        <w:t>Kritéria hodnocení</w:t>
      </w:r>
    </w:p>
    <w:p>
      <w:pPr>
        <w:pStyle w:val="P26"/>
        <w:framePr w:w="3918" w:h="376" w:hRule="exact" w:wrap="none" w:vAnchor="page" w:hAnchor="margin" w:x="6803" w:y="6741"/>
        <w:rPr>
          <w:rStyle w:val="C3"/>
          <w:rtl w:val="0"/>
        </w:rPr>
      </w:pPr>
    </w:p>
    <w:p>
      <w:pPr>
        <w:pStyle w:val="P27"/>
        <w:framePr w:w="3836" w:h="249" w:hRule="exact" w:wrap="none" w:vAnchor="page" w:hAnchor="margin" w:x="6859" w:y="6812"/>
        <w:rPr>
          <w:rStyle w:val="C20"/>
          <w:rtl w:val="0"/>
        </w:rPr>
      </w:pPr>
      <w:r>
        <w:rPr>
          <w:rStyle w:val="C20"/>
          <w:rtl w:val="0"/>
        </w:rPr>
        <w:t>Způsoby ověření</w:t>
      </w:r>
    </w:p>
    <w:p>
      <w:pPr>
        <w:pStyle w:val="P12"/>
        <w:framePr w:w="6710" w:h="1280" w:hRule="exact" w:wrap="none" w:vAnchor="page" w:hAnchor="margin" w:x="45" w:y="7118"/>
        <w:rPr>
          <w:rStyle w:val="C3"/>
          <w:rtl w:val="0"/>
        </w:rPr>
      </w:pPr>
    </w:p>
    <w:p>
      <w:pPr>
        <w:pStyle w:val="P13"/>
        <w:framePr w:w="6658" w:h="1153" w:hRule="exact" w:wrap="none" w:vAnchor="page" w:hAnchor="margin" w:x="71" w:y="7174"/>
        <w:rPr>
          <w:rStyle w:val="C11"/>
          <w:rtl w:val="0"/>
        </w:rPr>
      </w:pPr>
      <w:r>
        <w:rPr>
          <w:rStyle w:val="C11"/>
          <w:rtl w:val="0"/>
        </w:rPr>
        <w:t>a) Vypočítat spotřebu materiálu a nákladů práce na zhotovení vazby V1 a stanovit konečnou cenu finální vazby V1 na základě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118"/>
        <w:rPr>
          <w:rStyle w:val="C3"/>
          <w:rtl w:val="0"/>
        </w:rPr>
      </w:pPr>
    </w:p>
    <w:p>
      <w:pPr>
        <w:pStyle w:val="P29"/>
        <w:framePr w:w="3839" w:h="1153" w:hRule="exact" w:wrap="none" w:vAnchor="page" w:hAnchor="margin" w:x="6856" w:y="7174"/>
        <w:rPr>
          <w:rStyle w:val="C21"/>
          <w:rtl w:val="0"/>
        </w:rPr>
      </w:pPr>
      <w:r>
        <w:rPr>
          <w:rStyle w:val="C21"/>
          <w:rtl w:val="0"/>
        </w:rPr>
        <w:t>Praktické předvedení</w:t>
      </w:r>
    </w:p>
    <w:p>
      <w:pPr>
        <w:pStyle w:val="P32"/>
        <w:framePr w:w="10710" w:h="248" w:hRule="exact" w:wrap="none" w:vAnchor="page" w:hAnchor="margin" w:x="28" w:y="8510"/>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http://katalog.nsp.cz/karta_p.aspx?id_jp=101517&amp;kod_sm1=33)</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autorizovaná osoba sdělí a nejpozději spolu s pozvánkou zašle uchazeči výčet těchto kritérií. Z variant, které umožňuje tento hodnoticí standard,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polygrafickém oboru + alespoň 5 let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 alespoň 5 let odborné praxe v oblasti polygrafické výroby nebo ve funkci učitele praktického vyučování nebo odborného výcviku v oblasti polygrafie, z toho minimálně jeden rok v oblasti knihařské výroby v období posledních dvou let před podáním žádosti o udělení autorizace.</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praxe v provozu nebo na úseku zahrnujícího pracoviště s činnostmi v oblasti knihařské výroby nebo ve funkci učitele odborných předmětů v oblasti polygrafie,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následujícím vybavením:</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aplikací pro kalkulace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Typografická Beseda</w:t>
      </w:r>
    </w:p>
    <w:p>
      <w:pPr>
        <w:pStyle w:val="P21"/>
        <w:framePr w:w="7654" w:h="331" w:hRule="exact" w:wrap="none" w:vAnchor="page" w:hAnchor="margin" w:x="28" w:y="15940"/>
        <w:rPr>
          <w:rStyle w:val="C16"/>
          <w:rtl w:val="0"/>
        </w:rPr>
      </w:pPr>
      <w:r>
        <w:rPr>
          <w:rStyle w:val="C16"/>
          <w:rtl w:val="0"/>
        </w:rPr>
        <w:t>Knihař na knihařských strojích, 11.5.2026 5:56:39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2F4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D132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