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ABF85" Type="http://schemas.openxmlformats.org/officeDocument/2006/relationships/officeDocument" Target="/word/document.xml" /><Relationship Id="coreR677ABF85" Type="http://schemas.openxmlformats.org/package/2006/relationships/metadata/core-properties" Target="/docProps/core.xml" /><Relationship Id="customR677AB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07.03.2013 do: 20.10.2022</w:t>
      </w:r>
    </w:p>
    <w:p>
      <w:pPr>
        <w:pStyle w:val="P21"/>
        <w:framePr w:w="7654" w:h="331" w:hRule="exact" w:wrap="none" w:vAnchor="page" w:hAnchor="margin" w:x="28" w:y="15940"/>
        <w:rPr>
          <w:rStyle w:val="C16"/>
          <w:rtl w:val="0"/>
        </w:rPr>
      </w:pPr>
      <w:r>
        <w:rPr>
          <w:rStyle w:val="C16"/>
          <w:rtl w:val="0"/>
        </w:rPr>
        <w:t>Hutník přípravář vsázky aglomerace, 11.5.2026 4:54:06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vsázky aglomerace, 11.5.2026 4:54:06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vsázky aglomerace, 11.5.2026 4:54:06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vsázky aglomerace, 11.5.2026 4:54:06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vsázky aglomerace, 11.5.2026 4:54:06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vsázky aglomerace, 11.5.2026 4:54:06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