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91A82" Type="http://schemas.openxmlformats.org/officeDocument/2006/relationships/officeDocument" Target="/word/document.xml" /><Relationship Id="coreR27D91A82" Type="http://schemas.openxmlformats.org/package/2006/relationships/metadata/core-properties" Target="/docProps/core.xml" /><Relationship Id="customR27D91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07.03.2013 do: 20.10.2022</w:t>
      </w:r>
    </w:p>
    <w:p>
      <w:pPr>
        <w:pStyle w:val="P21"/>
        <w:framePr w:w="7654" w:h="331" w:hRule="exact" w:wrap="none" w:vAnchor="page" w:hAnchor="margin" w:x="28" w:y="15940"/>
        <w:rPr>
          <w:rStyle w:val="C16"/>
          <w:rtl w:val="0"/>
        </w:rPr>
      </w:pPr>
      <w:r>
        <w:rPr>
          <w:rStyle w:val="C16"/>
          <w:rtl w:val="0"/>
        </w:rPr>
        <w:t>Hutník přípravář vsázky aglomerace, 30.9.2026 5:01:52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vsázky aglomerace, 30.9.2026 5:01:52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vsázky aglomerace, 30.9.2026 5:01:52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vsázky aglomerace, 30.9.2026 5:01:52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vsázky aglomerace, 30.9.2026 5:01:52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vsázky aglomerace, 30.9.2026 5:01:52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