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99A20" Type="http://schemas.openxmlformats.org/officeDocument/2006/relationships/officeDocument" Target="/word/document.xml" /><Relationship Id="coreR8E99A20" Type="http://schemas.openxmlformats.org/package/2006/relationships/metadata/core-properties" Target="/docProps/core.xml" /><Relationship Id="customR8E99A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 hutnice tažečka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tažeč / hutnice tažečka kovů, 30.9.2026 3:41:23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ukázat bezpečnostní rizika při práci v tažírně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předvést bezpečnostní pravidla práce pod jeřábem a pravidla pro vázání břemen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Normalizace při výrobě a lití kovů v hutním provozu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 názvosloví pro lití kovů a zpracování kovů tažením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v technické dokumentaci</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v technické dokumentaci</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Číst metalurgické postupy tváření kovů</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Popsat a ukázat druhy vstupů a jejich charakteristiky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zdůvodněním</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a ukázat na příkladech druhy tažených výrobků a jejich charakteristiky</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 s ústním zdůvodněním</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Obsluha strojů a strojních součástí v hutnictví</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831" w:hRule="exact" w:wrap="none" w:vAnchor="page" w:hAnchor="margin" w:x="45" w:y="11111"/>
        <w:rPr>
          <w:rStyle w:val="C3"/>
          <w:rtl w:val="0"/>
        </w:rPr>
      </w:pPr>
    </w:p>
    <w:p>
      <w:pPr>
        <w:pStyle w:val="P13"/>
        <w:framePr w:w="6658" w:h="704" w:hRule="exact" w:wrap="none" w:vAnchor="page" w:hAnchor="margin" w:x="71" w:y="11167"/>
        <w:rPr>
          <w:rStyle w:val="C11"/>
          <w:rtl w:val="0"/>
        </w:rPr>
      </w:pPr>
      <w:r>
        <w:rPr>
          <w:rStyle w:val="C11"/>
          <w:rtl w:val="0"/>
        </w:rPr>
        <w:t>a) Rozeznat a popsat funkce strojů a zařízení používaných ve válcovnách a tažírnách kovů</w:t>
      </w:r>
    </w:p>
    <w:p>
      <w:pPr>
        <w:pStyle w:val="P28"/>
        <w:framePr w:w="3921" w:h="831" w:hRule="exact" w:wrap="none" w:vAnchor="page" w:hAnchor="margin" w:x="6800" w:y="11111"/>
        <w:rPr>
          <w:rStyle w:val="C3"/>
          <w:rtl w:val="0"/>
        </w:rPr>
      </w:pPr>
    </w:p>
    <w:p>
      <w:pPr>
        <w:pStyle w:val="P29"/>
        <w:framePr w:w="3839" w:h="704" w:hRule="exact" w:wrap="none" w:vAnchor="page" w:hAnchor="margin" w:x="6856" w:y="11167"/>
        <w:rPr>
          <w:rStyle w:val="C21"/>
          <w:rtl w:val="0"/>
        </w:rPr>
      </w:pPr>
      <w:r>
        <w:rPr>
          <w:rStyle w:val="C21"/>
          <w:rtl w:val="0"/>
        </w:rPr>
        <w:t>Praktické předvedení s ústním zdůvodněním v provozním, nebo simulovaném prostředí</w:t>
      </w:r>
    </w:p>
    <w:p>
      <w:pPr>
        <w:pStyle w:val="P16"/>
        <w:framePr w:w="6710" w:h="607" w:hRule="exact" w:wrap="none" w:vAnchor="page" w:hAnchor="margin" w:x="45" w:y="11942"/>
        <w:rPr>
          <w:rStyle w:val="C3"/>
          <w:rtl w:val="0"/>
        </w:rPr>
      </w:pPr>
    </w:p>
    <w:p>
      <w:pPr>
        <w:pStyle w:val="P17"/>
        <w:framePr w:w="6658" w:h="480" w:hRule="exact" w:wrap="none" w:vAnchor="page" w:hAnchor="margin" w:x="71" w:y="11998"/>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1942"/>
        <w:rPr>
          <w:rStyle w:val="C3"/>
          <w:rtl w:val="0"/>
        </w:rPr>
      </w:pPr>
    </w:p>
    <w:p>
      <w:pPr>
        <w:pStyle w:val="P31"/>
        <w:framePr w:w="3839" w:h="480" w:hRule="exact" w:wrap="none" w:vAnchor="page" w:hAnchor="margin" w:x="6856" w:y="11998"/>
        <w:rPr>
          <w:rStyle w:val="C22"/>
          <w:rtl w:val="0"/>
        </w:rPr>
      </w:pPr>
      <w:r>
        <w:rPr>
          <w:rStyle w:val="C22"/>
          <w:rtl w:val="0"/>
        </w:rPr>
        <w:t>Praktické předvedení s ústním zdůvodněním</w:t>
      </w:r>
    </w:p>
    <w:p>
      <w:pPr>
        <w:pStyle w:val="P32"/>
        <w:framePr w:w="10710" w:h="248" w:hRule="exact" w:wrap="none" w:vAnchor="page" w:hAnchor="margin" w:x="28" w:y="12662"/>
        <w:rPr>
          <w:rStyle w:val="C23"/>
          <w:rtl w:val="0"/>
        </w:rPr>
      </w:pPr>
      <w:r>
        <w:rPr>
          <w:rStyle w:val="C23"/>
          <w:rtl w:val="0"/>
        </w:rPr>
        <w:t>Je třeba splnit obě kritéria.</w:t>
      </w:r>
    </w:p>
    <w:p>
      <w:pPr>
        <w:pStyle w:val="P23"/>
        <w:framePr w:w="10710" w:h="340" w:hRule="exact" w:wrap="none" w:vAnchor="page" w:hAnchor="margin" w:x="28" w:y="13098"/>
        <w:rPr>
          <w:rStyle w:val="C18"/>
          <w:rtl w:val="0"/>
        </w:rPr>
      </w:pPr>
      <w:r>
        <w:rPr>
          <w:rStyle w:val="C18"/>
          <w:rtl w:val="0"/>
        </w:rPr>
        <w:t>Provádění zkoušek v tažírnách</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376" w:hRule="exact" w:wrap="none" w:vAnchor="page" w:hAnchor="margin" w:x="45" w:y="13914"/>
        <w:rPr>
          <w:rStyle w:val="C3"/>
          <w:rtl w:val="0"/>
        </w:rPr>
      </w:pPr>
    </w:p>
    <w:p>
      <w:pPr>
        <w:pStyle w:val="P13"/>
        <w:framePr w:w="6658" w:h="249" w:hRule="exact" w:wrap="none" w:vAnchor="page" w:hAnchor="margin" w:x="71" w:y="13970"/>
        <w:rPr>
          <w:rStyle w:val="C11"/>
          <w:rtl w:val="0"/>
        </w:rPr>
      </w:pPr>
      <w:r>
        <w:rPr>
          <w:rStyle w:val="C11"/>
          <w:rtl w:val="0"/>
        </w:rPr>
        <w:t>a) Vyjmenovat materiálové zkoušky prováděné v tažírnách</w:t>
      </w:r>
    </w:p>
    <w:p>
      <w:pPr>
        <w:pStyle w:val="P28"/>
        <w:framePr w:w="3921" w:h="376" w:hRule="exact" w:wrap="none" w:vAnchor="page" w:hAnchor="margin" w:x="6800" w:y="13914"/>
        <w:rPr>
          <w:rStyle w:val="C3"/>
          <w:rtl w:val="0"/>
        </w:rPr>
      </w:pPr>
    </w:p>
    <w:p>
      <w:pPr>
        <w:pStyle w:val="P29"/>
        <w:framePr w:w="3839" w:h="249" w:hRule="exact" w:wrap="none" w:vAnchor="page" w:hAnchor="margin" w:x="6856" w:y="13970"/>
        <w:rPr>
          <w:rStyle w:val="C21"/>
          <w:rtl w:val="0"/>
        </w:rPr>
      </w:pPr>
      <w:r>
        <w:rPr>
          <w:rStyle w:val="C21"/>
          <w:rtl w:val="0"/>
        </w:rPr>
        <w:t>Ústní ověření</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b) Odebrat a odeslat vzorek ke zkoušce</w:t>
      </w:r>
    </w:p>
    <w:p>
      <w:pPr>
        <w:pStyle w:val="P30"/>
        <w:framePr w:w="3921" w:h="607" w:hRule="exact" w:wrap="none" w:vAnchor="page" w:hAnchor="margin" w:x="6800" w:y="14290"/>
        <w:rPr>
          <w:rStyle w:val="C3"/>
          <w:rtl w:val="0"/>
        </w:rPr>
      </w:pPr>
    </w:p>
    <w:p>
      <w:pPr>
        <w:pStyle w:val="P31"/>
        <w:framePr w:w="3839" w:h="480" w:hRule="exact" w:wrap="none" w:vAnchor="page" w:hAnchor="margin" w:x="6856" w:y="14346"/>
        <w:rPr>
          <w:rStyle w:val="C22"/>
          <w:rtl w:val="0"/>
        </w:rPr>
      </w:pPr>
      <w:r>
        <w:rPr>
          <w:rStyle w:val="C22"/>
          <w:rtl w:val="0"/>
        </w:rPr>
        <w:t>Praktické předvedení s ústním zdůvodněním</w:t>
      </w:r>
    </w:p>
    <w:p>
      <w:pPr>
        <w:pStyle w:val="P32"/>
        <w:framePr w:w="10710" w:h="248" w:hRule="exact" w:wrap="none" w:vAnchor="page" w:hAnchor="margin" w:x="28" w:y="15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 hutnice tažečka kovů, 30.9.2026 3:41:23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tažných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tažení a o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matric</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Obsluha zařízení pro tažení, předehřívání a obsluha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předehřívací zařízení polotovarů před tažením</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jednoduché a vícenásobné stroje a zařízení na tažení</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Nastavit základní parametry a provádět průběžnou kontrolu</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úpravárenské linky a zařízení</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 hutnice tažečka kovů, 30.9.2026 3:41:23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https://www.nsp.cz/jednotka-prace/hutnik-tazec-kovu#zdravotni-zpusobilost).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tažeč / hutnice tažečka kovů, 30.9.2026 3:41:23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hutnictví a zároveň střední vzdělání s maturitní zkouškou v oboru strojírenství a alespoň 5 let odborné praxe v řídicích činnostech v oblasti hutní výroby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tváření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tváření kovů a alespoň 5 let odborné praxe v řídicích činnostech v oblasti hutní výroby nebo ve funkci učitele odborných předmětů.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tažeč / hutnice tažečka kovů, 30.9.2026 3:41:23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nutno provést na provoze, kde se táhnou kovové profily - na předehřívacím zařízení, na strojích a zařízeních pro tažení, na zařízeních úpravárenské linky.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 hutnice tažečka kovů, 30.9.2026 3:41:23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 hutnice tažečka kovů, 30.9.2026 3:41:23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F66F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3220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