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4A8ECA" Type="http://schemas.openxmlformats.org/officeDocument/2006/relationships/officeDocument" Target="/word/document.xml" /><Relationship Id="coreR114A8ECA" Type="http://schemas.openxmlformats.org/package/2006/relationships/metadata/core-properties" Target="/docProps/core.xml" /><Relationship Id="customR114A8E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valcíř kovů (kód: 21-008-H)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valcíř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tváření (válcování)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ve válcovnách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válcovací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válcovacích stolic, dělících, rovnacích frézovacích a úpravárenských linek při výrobě válcovaných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válcovacích stolic, žíhacích pecí 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07.03.2013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28.9.2026 14:45:38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http://katalog.nsp.cz/karta_p.aspx?id_jp=95&amp;kod_sm1=36).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kritérií, protože není nutné splnit všechna kritéria, nebo ověření v provozním či simulovaném prostředí, zkoušející sdělí a nejpozději spolu s pozvánkou zašle uchazeči výčet kritérií, která lze s ohledem na technické a technologické podmínky autorizované osoby ověřovat, a dále informaci, zda zkouška proběhne v provozním či simulovaném prostředí a jaké aspekty budou sledovány při výkonu činností a při nakládání s materiálem. Z variant, které umožňuje jak tento hodnoticí standard, tak podmínky autorizované osoby, si uchazeč zvolí tu, která nejlépe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28.9.2026 14:45:38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kovů, 28.9.2026 14:45:38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