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B2703" Type="http://schemas.openxmlformats.org/officeDocument/2006/relationships/officeDocument" Target="/word/document.xml" /><Relationship Id="coreR376B2703" Type="http://schemas.openxmlformats.org/package/2006/relationships/metadata/core-properties" Target="/docProps/core.xml" /><Relationship Id="customR376B2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http://katalog.nsp.cz/karta_p.aspx?id_jp=95&amp;kod_sm1=36).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a dále informaci, zda zkouška proběhne v provozním či simulovaném prostředí a jaké aspekty budou sledovány při výkonu činností a při nakládání s materiálem. Z variant, které umožňuje jak tento hodnoticí standard, tak podmínky autorizované osoby, si uchazeč zvolí tu, která nejlépe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