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5B8CD4" Type="http://schemas.openxmlformats.org/officeDocument/2006/relationships/officeDocument" Target="/word/document.xml" /><Relationship Id="coreRA5B8CD4" Type="http://schemas.openxmlformats.org/package/2006/relationships/metadata/core-properties" Target="/docProps/core.xml" /><Relationship Id="customRA5B8CD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Formíř-jádrař (kód: 21-010-H)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Formíř a jádrař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ve slévárenském provoze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Čtení slévárenských výkresů a postupů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Zhotovování odlitků ve slévárenství a používání technologických postupů a dovedností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Odlévání do forem ve slévárenské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Rozeznání vad odlitků souvisejících s výrobou forem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formovacích a jádrových směsí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slévárenských výrobních technologických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Používání regeneračního systému formovacích směsí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Formíř-jádrař, 20.8.2026 16:52:33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049"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https://www.nsp.cz/jednotka-prace/formir-a-jadrar#zdravotni-zpusobilost).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Některé činnosti uchazeče mohou být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21"/>
        <w:framePr w:w="7654" w:h="331" w:hRule="exact" w:wrap="none" w:vAnchor="page" w:hAnchor="margin" w:x="28" w:y="15940"/>
        <w:rPr>
          <w:rStyle w:val="C16"/>
          <w:rtl w:val="0"/>
        </w:rPr>
      </w:pPr>
      <w:r>
        <w:rPr>
          <w:rStyle w:val="C16"/>
          <w:rtl w:val="0"/>
        </w:rPr>
        <w:t>Formíř-jádrař, 20.8.2026 16:52:33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hutnictví, slévárenství a kovárenství,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střední průmyslová škola a gymnázium</w:t>
      </w:r>
    </w:p>
    <w:p>
      <w:pPr>
        <w:pStyle w:val="P21"/>
        <w:framePr w:w="7654" w:h="331" w:hRule="exact" w:wrap="none" w:vAnchor="page" w:hAnchor="margin" w:x="28" w:y="15940"/>
        <w:rPr>
          <w:rStyle w:val="C16"/>
          <w:rtl w:val="0"/>
        </w:rPr>
      </w:pPr>
      <w:r>
        <w:rPr>
          <w:rStyle w:val="C16"/>
          <w:rtl w:val="0"/>
        </w:rPr>
        <w:t>Formíř-jádrař, 20.8.2026 16:52:33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