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DE7ED" Type="http://schemas.openxmlformats.org/officeDocument/2006/relationships/officeDocument" Target="/word/document.xml" /><Relationship Id="coreR45FDE7ED" Type="http://schemas.openxmlformats.org/package/2006/relationships/metadata/core-properties" Target="/docProps/core.xml" /><Relationship Id="customR45FDE7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kalhot a buď podšitého saka, nebo podšitého pláště) pro konkrétní zákaznici (tzn. na konkrétní postavu), nastříhání dílů (z vrchového materiálu), zhotovení kalhot a rozpracování saka nebo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prakticky provést nebo vysvětlit, tzn., že trupový výrobek (sako nebo plášť) nemusí být zcela dokončen.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