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27B6" Type="http://schemas.openxmlformats.org/officeDocument/2006/relationships/officeDocument" Target="/word/document.xml" /><Relationship Id="coreRF327B6" Type="http://schemas.openxmlformats.org/package/2006/relationships/metadata/core-properties" Target="/docProps/core.xml" /><Relationship Id="customRF327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malířských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malířských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malířské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pro malířské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Tmelení a broušení tmelených ploch při malířských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nátěrových hmot pro malířské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štětcem, válečkem a vysokotlakým stříkacím zařízením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a opravy maleb v jednom nebo více odstínech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dekorativních maleb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malířských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imitace mramoru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nátěrů fasád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malířských prací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malířských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30.9.2026 1:43:34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http://katalog.nsp.cz/karta_tp.aspx?id_jp=30725&amp;kod_sm1=41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prostředků.Vzhledem k charakteru některých činností při ověřování kritérií hodnocení je nezbytné zkoušenému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30.9.2026 1:43:34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30.9.2026 1:43:34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